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9" w:type="dxa"/>
        <w:tblInd w:w="-34" w:type="dxa"/>
        <w:tblLook w:val="0000" w:firstRow="0" w:lastRow="0" w:firstColumn="0" w:lastColumn="0" w:noHBand="0" w:noVBand="0"/>
      </w:tblPr>
      <w:tblGrid>
        <w:gridCol w:w="3224"/>
        <w:gridCol w:w="5885"/>
      </w:tblGrid>
      <w:tr>
        <w:trPr>
          <w:trHeight w:val="70"/>
        </w:trPr>
        <w:tc>
          <w:tcPr>
            <w:tcW w:w="3224" w:type="dxa"/>
          </w:tcPr>
          <w:p>
            <w:pPr>
              <w:spacing w:line="245" w:lineRule="auto"/>
              <w:ind w:firstLine="0"/>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ỦY BAN NHÂN DÂN</w:t>
            </w:r>
          </w:p>
          <w:p>
            <w:pPr>
              <w:spacing w:line="245" w:lineRule="auto"/>
              <w:ind w:firstLine="0"/>
              <w:jc w:val="center"/>
              <w:rPr>
                <w:rFonts w:ascii="Times New Roman" w:hAnsi="Times New Roman" w:cs="Times New Roman"/>
                <w:b/>
                <w:bCs/>
                <w:sz w:val="26"/>
                <w:szCs w:val="26"/>
                <w:lang w:val="nl-NL"/>
              </w:rPr>
            </w:pPr>
            <w:r>
              <w:rPr>
                <w:rFonts w:ascii="Times New Roman" w:hAnsi="Times New Roman" w:cs="Times New Roman"/>
                <w:noProof/>
                <w:sz w:val="28"/>
                <w:szCs w:val="28"/>
              </w:rPr>
              <mc:AlternateContent>
                <mc:Choice Requires="wps">
                  <w:drawing>
                    <wp:anchor distT="4294967295" distB="4294967295" distL="114300" distR="114300" simplePos="0" relativeHeight="251655168" behindDoc="0" locked="0" layoutInCell="1" allowOverlap="1">
                      <wp:simplePos x="0" y="0"/>
                      <wp:positionH relativeFrom="column">
                        <wp:posOffset>527685</wp:posOffset>
                      </wp:positionH>
                      <wp:positionV relativeFrom="paragraph">
                        <wp:posOffset>209881</wp:posOffset>
                      </wp:positionV>
                      <wp:extent cx="800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16.55pt" to="10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"/>
                  </w:pict>
                </mc:Fallback>
              </mc:AlternateContent>
            </w:r>
            <w:r>
              <w:rPr>
                <w:rFonts w:ascii="Times New Roman" w:hAnsi="Times New Roman" w:cs="Times New Roman"/>
                <w:b/>
                <w:bCs/>
                <w:sz w:val="26"/>
                <w:szCs w:val="26"/>
                <w:lang w:val="nl-NL"/>
              </w:rPr>
              <w:t>TỈNH THANH HÓA</w:t>
            </w:r>
          </w:p>
        </w:tc>
        <w:tc>
          <w:tcPr>
            <w:tcW w:w="5885" w:type="dxa"/>
          </w:tcPr>
          <w:p>
            <w:pPr>
              <w:spacing w:line="245"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spacing w:line="245" w:lineRule="auto"/>
              <w:ind w:firstLine="0"/>
              <w:jc w:val="center"/>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simplePos x="0" y="0"/>
                      <wp:positionH relativeFrom="column">
                        <wp:posOffset>714679</wp:posOffset>
                      </wp:positionH>
                      <wp:positionV relativeFrom="paragraph">
                        <wp:posOffset>220980</wp:posOffset>
                      </wp:positionV>
                      <wp:extent cx="21932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7.4pt" to="228.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"/>
                  </w:pict>
                </mc:Fallback>
              </mc:AlternateContent>
            </w:r>
            <w:r>
              <w:rPr>
                <w:rFonts w:ascii="Times New Roman" w:hAnsi="Times New Roman" w:cs="Times New Roman"/>
                <w:b/>
                <w:bCs/>
                <w:sz w:val="28"/>
                <w:szCs w:val="28"/>
              </w:rPr>
              <w:t>Độc lập - Tự do - Hạnh phúc</w:t>
            </w:r>
          </w:p>
        </w:tc>
      </w:tr>
      <w:tr>
        <w:trPr>
          <w:trHeight w:val="186"/>
        </w:trPr>
        <w:tc>
          <w:tcPr>
            <w:tcW w:w="3224" w:type="dxa"/>
            <w:vAlign w:val="bottom"/>
          </w:tcPr>
          <w:p>
            <w:pPr>
              <w:spacing w:before="240" w:line="245" w:lineRule="auto"/>
              <w:ind w:firstLine="0"/>
              <w:jc w:val="center"/>
              <w:rPr>
                <w:rFonts w:ascii="Times New Roman" w:hAnsi="Times New Roman" w:cs="Times New Roman"/>
                <w:b/>
                <w:bCs/>
                <w:sz w:val="26"/>
                <w:szCs w:val="26"/>
                <w:lang w:val="nl-NL"/>
              </w:rPr>
            </w:pPr>
            <w:r>
              <w:rPr>
                <w:rFonts w:ascii="Times New Roman" w:hAnsi="Times New Roman" w:cs="Times New Roman"/>
                <w:sz w:val="26"/>
                <w:szCs w:val="26"/>
              </w:rPr>
              <w:t>Số:          /2026/QĐ-UBND</w:t>
            </w:r>
          </w:p>
        </w:tc>
        <w:tc>
          <w:tcPr>
            <w:tcW w:w="5885" w:type="dxa"/>
            <w:vAlign w:val="bottom"/>
          </w:tcPr>
          <w:p>
            <w:pPr>
              <w:spacing w:line="245" w:lineRule="auto"/>
              <w:ind w:firstLine="0"/>
              <w:jc w:val="right"/>
              <w:rPr>
                <w:rFonts w:ascii="Times New Roman" w:hAnsi="Times New Roman" w:cs="Times New Roman"/>
                <w:b/>
                <w:bCs/>
                <w:sz w:val="26"/>
                <w:szCs w:val="26"/>
              </w:rPr>
            </w:pPr>
            <w:r>
              <w:rPr>
                <w:rFonts w:ascii="Times New Roman" w:hAnsi="Times New Roman" w:cs="Times New Roman"/>
                <w:i/>
                <w:iCs/>
                <w:sz w:val="28"/>
                <w:szCs w:val="28"/>
              </w:rPr>
              <w:t>Thanh Hóa, ngày      tháng 5 năm 2026</w:t>
            </w:r>
          </w:p>
        </w:tc>
      </w:tr>
    </w:tbl>
    <w:p>
      <w:pPr>
        <w:spacing w:before="360" w:line="245" w:lineRule="auto"/>
        <w:ind w:firstLine="0"/>
        <w:jc w:val="center"/>
        <w:rPr>
          <w:rFonts w:ascii="Times New Roman" w:eastAsia="Times New Roman" w:hAnsi="Times New Roman" w:cs="Times New Roman"/>
          <w:b/>
          <w:sz w:val="28"/>
          <w:szCs w:val="28"/>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77638</wp:posOffset>
                </wp:positionV>
                <wp:extent cx="1017905" cy="344805"/>
                <wp:effectExtent l="0" t="0" r="10795"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44805"/>
                        </a:xfrm>
                        <a:prstGeom prst="rect">
                          <a:avLst/>
                        </a:prstGeom>
                        <a:solidFill>
                          <a:srgbClr val="FFFFFF"/>
                        </a:solidFill>
                        <a:ln w="9525">
                          <a:solidFill>
                            <a:srgbClr val="000000"/>
                          </a:solidFill>
                          <a:miter lim="800000"/>
                          <a:headEnd/>
                          <a:tailEnd/>
                        </a:ln>
                      </wps:spPr>
                      <wps:txbx>
                        <w:txbxContent>
                          <w:p>
                            <w:pPr>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6.1pt;width:80.15pt;height:2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pOKAIAAFA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">
                <v:textbox>
                  <w:txbxContent>
                    <w:p>
                      <w:pPr>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DỰ THẢO</w:t>
                      </w:r>
                    </w:p>
                  </w:txbxContent>
                </v:textbox>
              </v:shape>
            </w:pict>
          </mc:Fallback>
        </mc:AlternateContent>
      </w:r>
      <w:r>
        <w:rPr>
          <w:rFonts w:ascii="Times New Roman" w:eastAsia="Times New Roman" w:hAnsi="Times New Roman" w:cs="Times New Roman"/>
          <w:b/>
          <w:sz w:val="28"/>
          <w:szCs w:val="28"/>
        </w:rPr>
        <w:t>QUYẾT ĐỊNH</w:t>
      </w:r>
    </w:p>
    <w:p>
      <w:pPr>
        <w:ind w:firstLine="0"/>
        <w:jc w:val="center"/>
        <w:rPr>
          <w:rFonts w:ascii="Times New Roman" w:hAnsi="Times New Roman" w:cs="Times New Roman"/>
          <w:b/>
          <w:color w:val="000000"/>
          <w:spacing w:val="-2"/>
          <w:sz w:val="28"/>
          <w:szCs w:val="28"/>
          <w:shd w:val="clear" w:color="auto" w:fill="FFFFFF"/>
        </w:rPr>
      </w:pPr>
      <w:r>
        <w:rPr>
          <w:rFonts w:ascii="Times New Roman" w:eastAsia="Times New Roman" w:hAnsi="Times New Roman" w:cs="Times New Roman"/>
          <w:b/>
          <w:spacing w:val="-2"/>
          <w:sz w:val="28"/>
          <w:szCs w:val="28"/>
        </w:rPr>
        <w:t xml:space="preserve">Quy định </w:t>
      </w:r>
      <w:r>
        <w:rPr>
          <w:rFonts w:ascii="Times New Roman" w:hAnsi="Times New Roman" w:cs="Times New Roman"/>
          <w:b/>
          <w:color w:val="000000"/>
          <w:spacing w:val="-2"/>
          <w:sz w:val="28"/>
          <w:szCs w:val="28"/>
          <w:shd w:val="clear" w:color="auto" w:fill="FFFFFF"/>
        </w:rPr>
        <w:t>thẩm quyền quyết định phê duyệt chủ trương và dự kiến kinh phí thực hiện mua sắm, sửa chữa, cải tạo, nâng cấp tài sản, trang thiết bị, thuê hàng hóa, dịch vụ; sửa chữa, cải tạo, nâng cấp, mở rộng, xây dựng mới hạng mục công trình trong các dự án đã đầu tư xây dựng; dự kiến chi phí thực hiện hoạt động quy hoạch của các cơ quan, đơn vị trên địa bàn tỉnh Thanh Hóa</w:t>
      </w:r>
    </w:p>
    <w:p>
      <w:pPr>
        <w:spacing w:line="245" w:lineRule="auto"/>
        <w:ind w:firstLine="709"/>
        <w:contextualSpacing/>
        <w:jc w:val="center"/>
        <w:rPr>
          <w:rFonts w:ascii="Times New Roman" w:eastAsia="Times New Roman" w:hAnsi="Times New Roman" w:cs="Times New Roman"/>
          <w:i/>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2156460</wp:posOffset>
                </wp:positionH>
                <wp:positionV relativeFrom="paragraph">
                  <wp:posOffset>53292</wp:posOffset>
                </wp:positionV>
                <wp:extent cx="1423447" cy="0"/>
                <wp:effectExtent l="0" t="0" r="247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4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4.2pt" to="28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0q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"/>
            </w:pict>
          </mc:Fallback>
        </mc:AlternateContent>
      </w:r>
    </w:p>
    <w:p>
      <w:pPr>
        <w:spacing w:before="120" w:after="120" w:line="245"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ngày 16 tháng 6 năm 2025; </w:t>
      </w:r>
    </w:p>
    <w:p>
      <w:pPr>
        <w:spacing w:before="120" w:after="120" w:line="245"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w:t>
      </w:r>
      <w:bookmarkStart w:id="0" w:name="_GoBack"/>
      <w:bookmarkEnd w:id="0"/>
      <w:r>
        <w:rPr>
          <w:rFonts w:ascii="Times New Roman" w:eastAsia="Times New Roman" w:hAnsi="Times New Roman" w:cs="Times New Roman"/>
          <w:i/>
          <w:sz w:val="28"/>
          <w:szCs w:val="28"/>
        </w:rPr>
        <w:t>ứ Luật Ngân sách nhà nước ngày 25 tháng 6 năm 2025;</w:t>
      </w:r>
    </w:p>
    <w:p>
      <w:pPr>
        <w:spacing w:before="120" w:after="120" w:line="245" w:lineRule="auto"/>
        <w:rPr>
          <w:rFonts w:ascii="Times New Roman" w:eastAsia="Times New Roman" w:hAnsi="Times New Roman" w:cs="Times New Roman"/>
          <w:i/>
          <w:spacing w:val="-4"/>
          <w:sz w:val="28"/>
          <w:szCs w:val="28"/>
        </w:rPr>
      </w:pPr>
      <w:r>
        <w:rPr>
          <w:rFonts w:ascii="Times New Roman" w:eastAsia="Times New Roman" w:hAnsi="Times New Roman" w:cs="Times New Roman"/>
          <w:i/>
          <w:spacing w:val="-4"/>
          <w:sz w:val="28"/>
          <w:szCs w:val="28"/>
        </w:rPr>
        <w:t>Căn cứ Luật Ban hành văn bản quy phạm pháp luật ngày 19 tháng 02 năm 2025;</w:t>
      </w:r>
    </w:p>
    <w:p>
      <w:pPr>
        <w:spacing w:before="120" w:after="120" w:line="245"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Nghị số 73/2026/NĐ-CP ngày 10 tháng 3 năm 2026 của Chính phủ về việc quy định chi tiết và hướng dẫn thi hành một số điều của Luật Ngân sách nhà nước;</w:t>
      </w:r>
    </w:p>
    <w:p>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pPr>
        <w:spacing w:before="120" w:after="120" w:line="245"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p>
      <w:pPr>
        <w:spacing w:before="120" w:after="120" w:line="245" w:lineRule="auto"/>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Theo đề nghị của Giám đốc Sở Tài chính</w:t>
      </w:r>
      <w:r>
        <w:rPr>
          <w:rFonts w:ascii="Times New Roman" w:eastAsia="Times New Roman" w:hAnsi="Times New Roman" w:cs="Times New Roman"/>
          <w:i/>
          <w:iCs/>
          <w:spacing w:val="-2"/>
          <w:sz w:val="28"/>
          <w:szCs w:val="28"/>
          <w:lang w:eastAsia="x-none"/>
        </w:rPr>
        <w:t xml:space="preserve"> tại Tờ trình số …. ngày … </w:t>
      </w:r>
    </w:p>
    <w:p>
      <w:pPr>
        <w:spacing w:before="80" w:after="80" w:line="245" w:lineRule="auto"/>
        <w:rPr>
          <w:rFonts w:ascii="Times New Roman" w:hAnsi="Times New Roman" w:cs="Times New Roman"/>
          <w:i/>
          <w:sz w:val="28"/>
        </w:rPr>
      </w:pPr>
      <w:r>
        <w:rPr>
          <w:rFonts w:ascii="Times New Roman" w:hAnsi="Times New Roman" w:cs="Times New Roman"/>
          <w:i/>
          <w:sz w:val="28"/>
        </w:rPr>
        <w:t>Ủy ban nhân dân tỉnh ban hành Quyết định quy định thẩm quyền quyết định phê duyệt chủ trương và dự kiến kinh phí thực hiện mua sắm, sửa chữa, cải tạo, nâng cấp tài sản, trang thiết bị, thuê hàng hóa, dịch vụ; sửa chữa, cải tạo, nâng cấp, mở rộng, xây dựng mới hạng mục công trình trong các dự án đã đầu tư xây dựng; dự kiến chi phí thực hiện hoạt động quy hoạch của các cơ quan, đơn vị trên địa bàn tỉnh Thanh Hóa.</w:t>
      </w:r>
    </w:p>
    <w:p>
      <w:pPr>
        <w:spacing w:before="80" w:after="80" w:line="245" w:lineRule="auto"/>
        <w:rPr>
          <w:rFonts w:ascii="Times New Roman" w:hAnsi="Times New Roman" w:cs="Times New Roman"/>
          <w:color w:val="000000"/>
          <w:sz w:val="28"/>
          <w:szCs w:val="28"/>
        </w:rPr>
      </w:pPr>
      <w:r>
        <w:rPr>
          <w:rFonts w:ascii="Times New Roman" w:hAnsi="Times New Roman" w:cs="Times New Roman"/>
          <w:b/>
          <w:bCs/>
          <w:color w:val="000000"/>
          <w:sz w:val="28"/>
          <w:szCs w:val="28"/>
        </w:rPr>
        <w:t>Điều 1. Phạm vi điều chỉnh</w:t>
      </w:r>
    </w:p>
    <w:p>
      <w:pPr>
        <w:shd w:val="clear" w:color="auto" w:fill="FFFFFF"/>
        <w:tabs>
          <w:tab w:val="left" w:pos="709"/>
        </w:tabs>
        <w:spacing w:before="20" w:after="20"/>
        <w:rPr>
          <w:rFonts w:ascii="Times New Roman" w:hAnsi="Times New Roman" w:cs="Times New Roman"/>
          <w:sz w:val="28"/>
          <w:szCs w:val="28"/>
        </w:rPr>
      </w:pPr>
      <w:bookmarkStart w:id="1" w:name="dieu_2"/>
      <w:r>
        <w:rPr>
          <w:rFonts w:ascii="Times New Roman" w:hAnsi="Times New Roman" w:cs="Times New Roman"/>
          <w:sz w:val="28"/>
          <w:szCs w:val="28"/>
        </w:rPr>
        <w:t>1. Quyết định này quy</w:t>
      </w:r>
      <w:r>
        <w:rPr>
          <w:rFonts w:ascii="Times New Roman" w:hAnsi="Times New Roman" w:cs="Times New Roman"/>
          <w:spacing w:val="-4"/>
          <w:sz w:val="28"/>
          <w:szCs w:val="28"/>
        </w:rPr>
        <w:t xml:space="preserve"> </w:t>
      </w:r>
      <w:r>
        <w:rPr>
          <w:rFonts w:ascii="Times New Roman" w:hAnsi="Times New Roman" w:cs="Times New Roman"/>
          <w:sz w:val="28"/>
          <w:szCs w:val="28"/>
        </w:rPr>
        <w:t>định</w:t>
      </w:r>
      <w:r>
        <w:rPr>
          <w:rFonts w:ascii="Times New Roman" w:hAnsi="Times New Roman" w:cs="Times New Roman"/>
          <w:spacing w:val="-2"/>
          <w:sz w:val="28"/>
          <w:szCs w:val="28"/>
        </w:rPr>
        <w:t xml:space="preserve"> </w:t>
      </w:r>
      <w:r>
        <w:rPr>
          <w:rFonts w:ascii="Times New Roman" w:hAnsi="Times New Roman" w:cs="Times New Roman"/>
          <w:sz w:val="28"/>
          <w:szCs w:val="28"/>
        </w:rPr>
        <w:t>thẩm</w:t>
      </w:r>
      <w:r>
        <w:rPr>
          <w:rFonts w:ascii="Times New Roman" w:hAnsi="Times New Roman" w:cs="Times New Roman"/>
          <w:spacing w:val="-3"/>
          <w:sz w:val="28"/>
          <w:szCs w:val="28"/>
        </w:rPr>
        <w:t xml:space="preserve"> </w:t>
      </w:r>
      <w:r>
        <w:rPr>
          <w:rFonts w:ascii="Times New Roman" w:hAnsi="Times New Roman" w:cs="Times New Roman"/>
          <w:sz w:val="28"/>
          <w:szCs w:val="28"/>
        </w:rPr>
        <w:t>quyền</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phê duyệt chủ trương và dự kiến kinh phí chi thường xuyên để thực hiện các nhiệm vụ theo quy định tại Nghị định số </w:t>
      </w:r>
      <w:r>
        <w:rPr>
          <w:rFonts w:ascii="Times New Roman" w:eastAsia="Times New Roman" w:hAnsi="Times New Roman" w:cs="Times New Roman"/>
          <w:sz w:val="28"/>
          <w:szCs w:val="28"/>
        </w:rPr>
        <w:t>104/2026/NĐ-CP ngày 31/3/2026 của Chính phủ, gồm:</w:t>
      </w:r>
    </w:p>
    <w:p>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a) Phê duyệt </w:t>
      </w:r>
      <w:r>
        <w:rPr>
          <w:sz w:val="28"/>
          <w:szCs w:val="28"/>
        </w:rPr>
        <w:t>chủ trương và dự kiến kinh phí</w:t>
      </w:r>
      <w:r>
        <w:rPr>
          <w:color w:val="000000"/>
          <w:sz w:val="28"/>
          <w:szCs w:val="28"/>
        </w:rPr>
        <w:t xml:space="preserve"> mua sắm, sửa chữa, cải tạo, nâng cấp tài sản, trang thiết bị; thuê hàng hóa, dịch vụ theo quy định tại </w:t>
      </w:r>
      <w:r>
        <w:rPr>
          <w:sz w:val="28"/>
          <w:szCs w:val="28"/>
        </w:rPr>
        <w:t xml:space="preserve">khoản 3, Điều 17 và khoản 1, Điều 27 Nghị định </w:t>
      </w:r>
      <w:r>
        <w:rPr>
          <w:sz w:val="28"/>
          <w:szCs w:val="28"/>
          <w:lang w:val="nl-NL"/>
        </w:rPr>
        <w:t>số 104/2026/NĐ-CP</w:t>
      </w:r>
      <w:r>
        <w:rPr>
          <w:color w:val="000000"/>
          <w:sz w:val="28"/>
          <w:szCs w:val="28"/>
        </w:rPr>
        <w:t xml:space="preserve">; </w:t>
      </w:r>
    </w:p>
    <w:p>
      <w:pPr>
        <w:pStyle w:val="NormalWeb"/>
        <w:shd w:val="clear" w:color="auto" w:fill="FFFFFF"/>
        <w:spacing w:before="120" w:beforeAutospacing="0" w:after="120" w:afterAutospacing="0" w:line="234" w:lineRule="atLeast"/>
        <w:ind w:firstLine="720"/>
        <w:jc w:val="both"/>
        <w:rPr>
          <w:color w:val="000000"/>
          <w:spacing w:val="-4"/>
          <w:sz w:val="28"/>
          <w:szCs w:val="28"/>
        </w:rPr>
      </w:pPr>
      <w:r>
        <w:rPr>
          <w:color w:val="000000"/>
          <w:spacing w:val="-4"/>
          <w:sz w:val="28"/>
          <w:szCs w:val="28"/>
        </w:rPr>
        <w:t xml:space="preserve">b) Phê duyệt </w:t>
      </w:r>
      <w:r>
        <w:rPr>
          <w:spacing w:val="-4"/>
          <w:sz w:val="28"/>
          <w:szCs w:val="28"/>
        </w:rPr>
        <w:t>chủ trương và dự kiến kinh phí</w:t>
      </w:r>
      <w:r>
        <w:rPr>
          <w:color w:val="000000"/>
          <w:spacing w:val="-4"/>
          <w:sz w:val="28"/>
          <w:szCs w:val="28"/>
        </w:rPr>
        <w:t xml:space="preserve"> sửa chữa, cải tạo, nâng cấp, mở rộng, xây dựng mới hạng mục công trình trong các dự án đã đầu tư xây dựng theo quy định tại </w:t>
      </w:r>
      <w:r>
        <w:rPr>
          <w:color w:val="000000"/>
          <w:spacing w:val="-4"/>
          <w:sz w:val="28"/>
          <w:szCs w:val="28"/>
          <w:shd w:val="clear" w:color="auto" w:fill="FFFFFF"/>
        </w:rPr>
        <w:t>điểm b, khoản 2, Điều 20</w:t>
      </w:r>
      <w:r>
        <w:rPr>
          <w:spacing w:val="-4"/>
          <w:sz w:val="28"/>
          <w:szCs w:val="28"/>
        </w:rPr>
        <w:t xml:space="preserve"> Nghị định </w:t>
      </w:r>
      <w:r>
        <w:rPr>
          <w:spacing w:val="-4"/>
          <w:sz w:val="28"/>
          <w:szCs w:val="28"/>
          <w:lang w:val="nl-NL"/>
        </w:rPr>
        <w:t>số 104/2026/NĐ-CP</w:t>
      </w:r>
      <w:r>
        <w:rPr>
          <w:color w:val="000000"/>
          <w:spacing w:val="-4"/>
          <w:sz w:val="28"/>
          <w:szCs w:val="28"/>
        </w:rPr>
        <w:t>;</w:t>
      </w:r>
    </w:p>
    <w:p>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lastRenderedPageBreak/>
        <w:t xml:space="preserve">c) Phê duyệt </w:t>
      </w:r>
      <w:r>
        <w:rPr>
          <w:sz w:val="28"/>
          <w:szCs w:val="28"/>
        </w:rPr>
        <w:t xml:space="preserve">dự kiến chi phí thực hiện </w:t>
      </w:r>
      <w:r>
        <w:rPr>
          <w:color w:val="000000"/>
          <w:sz w:val="28"/>
          <w:szCs w:val="28"/>
        </w:rPr>
        <w:t xml:space="preserve">hoạt động quy hoạch theo quy định tại </w:t>
      </w:r>
      <w:r>
        <w:rPr>
          <w:color w:val="000000"/>
          <w:sz w:val="28"/>
          <w:szCs w:val="28"/>
          <w:shd w:val="clear" w:color="auto" w:fill="FFFFFF"/>
        </w:rPr>
        <w:t xml:space="preserve">điểm b, khoản 2, Điều 25 </w:t>
      </w:r>
      <w:r>
        <w:rPr>
          <w:sz w:val="28"/>
          <w:szCs w:val="28"/>
        </w:rPr>
        <w:t xml:space="preserve">Nghị định </w:t>
      </w:r>
      <w:r>
        <w:rPr>
          <w:sz w:val="28"/>
          <w:szCs w:val="28"/>
          <w:lang w:val="nl-NL"/>
        </w:rPr>
        <w:t>số 104/2026/NĐ-CP</w:t>
      </w:r>
      <w:r>
        <w:rPr>
          <w:color w:val="000000"/>
          <w:sz w:val="28"/>
          <w:szCs w:val="28"/>
        </w:rPr>
        <w:t>.</w:t>
      </w:r>
    </w:p>
    <w:p>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2. Đối với nhiệm vụ sử dụng chi thường xuyên quy định tại khoản 1 Điều này trong các lĩnh vực quốc phòng, an ninh, đối ngoại, công nghệ thông tin, khoa học, công nghệ và đổi mới sáng tạo, chuyển đổi số, bảo vệ môi trường và các lĩnh vực khác (nếu có): Cơ quan, đơn vị áp dụng quy định về thẩm quyền tại Quyết định này, trường hợp pháp luật chuyên ngành có quy định riêng, cơ chế, chính sách ưu tiên, ưu đãi hoặc thuận lợi hơn thì áp dụng thực hiện theo cơ chế, chính sách đó, đảm bảo phù hợp với đặc thù, quy định riêng của từng lĩnh vực.</w:t>
      </w:r>
    </w:p>
    <w:p>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3. Quyết định này không quy định đối với các nội dung tại khoản 2 Điều 1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p>
      <w:pPr>
        <w:shd w:val="clear" w:color="auto" w:fill="FFFFFF"/>
        <w:spacing w:before="20" w:after="20"/>
        <w:rPr>
          <w:rFonts w:ascii="Times New Roman" w:hAnsi="Times New Roman" w:cs="Times New Roman"/>
          <w:b/>
          <w:bCs/>
          <w:color w:val="000000"/>
          <w:sz w:val="28"/>
          <w:szCs w:val="28"/>
        </w:rPr>
      </w:pPr>
      <w:r>
        <w:rPr>
          <w:rFonts w:ascii="Times New Roman" w:hAnsi="Times New Roman" w:cs="Times New Roman"/>
          <w:b/>
          <w:bCs/>
          <w:color w:val="000000"/>
          <w:sz w:val="28"/>
          <w:szCs w:val="28"/>
        </w:rPr>
        <w:t>Điều 2. Đối tượng áp dụng</w:t>
      </w:r>
      <w:bookmarkEnd w:id="1"/>
    </w:p>
    <w:p>
      <w:pPr>
        <w:shd w:val="clear" w:color="auto" w:fill="FFFFFF"/>
        <w:spacing w:before="20" w:after="20"/>
        <w:rPr>
          <w:rFonts w:ascii="Times New Roman" w:hAnsi="Times New Roman" w:cs="Times New Roman"/>
          <w:sz w:val="28"/>
          <w:szCs w:val="28"/>
        </w:rPr>
      </w:pPr>
      <w:r>
        <w:rPr>
          <w:rFonts w:ascii="Times New Roman" w:hAnsi="Times New Roman" w:cs="Times New Roman"/>
          <w:sz w:val="28"/>
          <w:szCs w:val="28"/>
        </w:rPr>
        <w:t>1. Cơ quan của Đảng Cộng sản Việt Nam, Nhà nước, Ủy ban Mặt trận Tổ quốc Việt Nam các cấp, các tổ chức chính trị - xã hội, đơn vị sự nghiệp công lập, tổ chức Hội do Đảng, Nhà nước giao nhiệm vụ theo quy định của pháp luật về hội và pháp luật về ngân sách nhà nước.</w:t>
      </w:r>
    </w:p>
    <w:p>
      <w:pPr>
        <w:shd w:val="clear" w:color="auto" w:fill="FFFFFF"/>
        <w:spacing w:before="20" w:after="20"/>
        <w:rPr>
          <w:rFonts w:ascii="Times New Roman" w:hAnsi="Times New Roman" w:cs="Times New Roman"/>
          <w:sz w:val="28"/>
          <w:szCs w:val="28"/>
        </w:rPr>
      </w:pPr>
      <w:r>
        <w:rPr>
          <w:rFonts w:ascii="Times New Roman" w:hAnsi="Times New Roman" w:cs="Times New Roman"/>
          <w:sz w:val="28"/>
          <w:szCs w:val="28"/>
        </w:rPr>
        <w:t>2. Các tổ chức, cá nhân khác có liên quan đến sử dụng chi thường xuyên ngân sách địa phương tỉnh Thanh Hóa để thực hiện các nhiệm vụ quy định tại Điều 1 Quyết định này.</w:t>
      </w:r>
    </w:p>
    <w:p>
      <w:pPr>
        <w:shd w:val="clear" w:color="auto" w:fill="FFFFFF"/>
        <w:spacing w:before="20" w:after="20"/>
        <w:rPr>
          <w:rFonts w:ascii="Times New Roman" w:hAnsi="Times New Roman" w:cs="Times New Roman"/>
          <w:sz w:val="28"/>
          <w:szCs w:val="28"/>
        </w:rPr>
      </w:pPr>
      <w:r>
        <w:rPr>
          <w:rFonts w:ascii="Times New Roman" w:hAnsi="Times New Roman" w:cs="Times New Roman"/>
          <w:sz w:val="28"/>
          <w:szCs w:val="28"/>
        </w:rPr>
        <w:t>3. Các đối tượng quy định tại Khoản 1, Khoản 2 Điều này, sau đây được gọi chung là cơ quan, đơn vị.</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b/>
          <w:bCs/>
          <w:color w:val="000000"/>
          <w:sz w:val="28"/>
          <w:szCs w:val="28"/>
        </w:rPr>
        <w:t xml:space="preserve">Điều 3. </w:t>
      </w:r>
      <w:r>
        <w:rPr>
          <w:rFonts w:ascii="Times New Roman" w:hAnsi="Times New Roman" w:cs="Times New Roman"/>
          <w:b/>
          <w:sz w:val="28"/>
          <w:szCs w:val="28"/>
        </w:rPr>
        <w:t>Quy định thẩm quyền quyết định phê duyệt chủ trương và dự kiến kinh phí thực hiện mua sắm, sửa chữa, cải tạo, nâng cấp tài sản, trang thiết bị; thuê hàng hóa, dịch vụ</w:t>
      </w:r>
    </w:p>
    <w:p>
      <w:pPr>
        <w:spacing w:before="60" w:after="60"/>
        <w:rPr>
          <w:rFonts w:ascii="Times New Roman" w:hAnsi="Times New Roman" w:cs="Times New Roman"/>
          <w:sz w:val="28"/>
          <w:szCs w:val="28"/>
        </w:rPr>
      </w:pPr>
      <w:r>
        <w:rPr>
          <w:rFonts w:ascii="Times New Roman" w:hAnsi="Times New Roman" w:cs="Times New Roman"/>
          <w:sz w:val="28"/>
          <w:szCs w:val="28"/>
        </w:rPr>
        <w:t>1. Đối với nguồn kinh phí chi thường xuyên ngân sách nhà nước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các cơ quan, đơn vị sử dụng ngân sách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w:t>
      </w:r>
    </w:p>
    <w:p>
      <w:pPr>
        <w:spacing w:before="60" w:after="60"/>
        <w:rPr>
          <w:rFonts w:ascii="Times New Roman" w:hAnsi="Times New Roman" w:cs="Times New Roman"/>
          <w:sz w:val="28"/>
          <w:szCs w:val="28"/>
        </w:rPr>
      </w:pPr>
      <w:r>
        <w:rPr>
          <w:rFonts w:ascii="Times New Roman" w:hAnsi="Times New Roman" w:cs="Times New Roman"/>
          <w:sz w:val="28"/>
          <w:szCs w:val="28"/>
        </w:rPr>
        <w:t>2. Đối với nguồn kinh phí chi thường xuyên ngân sách nhà nước không giao thực hiện tự chủ:</w:t>
      </w:r>
    </w:p>
    <w:p>
      <w:pPr>
        <w:spacing w:before="60" w:after="60"/>
        <w:rPr>
          <w:rFonts w:ascii="Times New Roman" w:hAnsi="Times New Roman" w:cs="Times New Roman"/>
          <w:sz w:val="28"/>
          <w:szCs w:val="28"/>
        </w:rPr>
      </w:pPr>
      <w:r>
        <w:rPr>
          <w:rFonts w:ascii="Times New Roman" w:hAnsi="Times New Roman" w:cs="Times New Roman"/>
          <w:sz w:val="28"/>
          <w:szCs w:val="28"/>
        </w:rPr>
        <w:t>a) Thủ trưởng các cơ quan, đơn vị dự toán cấp I thuộc cấp tỉnh quyết định phê duyệt chủ trương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 và các đơn vị sử dụng ngân sách trực thuộc (trừ trường hợp quy định tại điểm b khoản 2 Điều này).</w:t>
      </w:r>
    </w:p>
    <w:p>
      <w:pPr>
        <w:spacing w:before="60" w:after="60"/>
        <w:rPr>
          <w:rFonts w:ascii="Times New Roman" w:hAnsi="Times New Roman" w:cs="Times New Roman"/>
          <w:sz w:val="28"/>
          <w:szCs w:val="28"/>
        </w:rPr>
      </w:pPr>
      <w:r>
        <w:rPr>
          <w:rFonts w:ascii="Times New Roman" w:hAnsi="Times New Roman" w:cs="Times New Roman"/>
          <w:sz w:val="28"/>
          <w:szCs w:val="28"/>
        </w:rPr>
        <w:lastRenderedPageBreak/>
        <w:t>b) Thủ trưởng cơ quan, đơn vị sử dụng ngân sách trực thuộc cơ quan, đơn vị dự toán cấp I thuộc cấp tỉnh quyết định phê duyệt chủ trương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 có dự toán kinh phí thực hiện dưới 500 triệu đồng/nhiệm vụ.</w:t>
      </w:r>
    </w:p>
    <w:p>
      <w:pPr>
        <w:spacing w:before="60" w:after="60"/>
        <w:rPr>
          <w:rFonts w:ascii="Times New Roman" w:hAnsi="Times New Roman" w:cs="Times New Roman"/>
          <w:sz w:val="28"/>
          <w:szCs w:val="28"/>
        </w:rPr>
      </w:pPr>
      <w:r>
        <w:rPr>
          <w:rFonts w:ascii="Times New Roman" w:hAnsi="Times New Roman" w:cs="Times New Roman"/>
          <w:sz w:val="28"/>
          <w:szCs w:val="28"/>
        </w:rPr>
        <w:t>c) Chủ tịch Ủy ban nhân dân cấp xã quyết định phê duyệt chủ trương và dự toán kinh phí thực hiện mua sắm, sửa chữa, cải tạo, nâng cấp tài sản, trang thiết bị và thuê hàng hóa, dịch vụ phục vụ hoạt động của các cơ quan, đơn vị cấp xã quản lý (bao gồm cả nguồn hỗ trợ từ ngân sách cấp trên).</w:t>
      </w:r>
    </w:p>
    <w:p>
      <w:pPr>
        <w:spacing w:before="60" w:after="60"/>
        <w:rPr>
          <w:rFonts w:ascii="Times New Roman" w:hAnsi="Times New Roman" w:cs="Times New Roman"/>
          <w:sz w:val="28"/>
          <w:szCs w:val="28"/>
        </w:rPr>
      </w:pPr>
      <w:r>
        <w:rPr>
          <w:rFonts w:ascii="Times New Roman" w:hAnsi="Times New Roman" w:cs="Times New Roman"/>
          <w:sz w:val="28"/>
          <w:szCs w:val="28"/>
        </w:rPr>
        <w:t>d) Đối với mua sắm, sửa chữa, cải tạo, nâng cấp tài sản, trang thiết bị và thuê hàng hóa, dịch vụ của các cơ quan trung ương được ngân sách địa phương hỗ trợ, cơ quan, đơn vị sự nghiệp của Đảng thực hiện theo quy định về phân cấp thẩm quyền quyết định quản lý, sử dụng tài sản tại các cơ quan, đơn vị.</w:t>
      </w:r>
    </w:p>
    <w:p>
      <w:pPr>
        <w:spacing w:before="60" w:after="60"/>
        <w:rPr>
          <w:rFonts w:ascii="Times New Roman" w:hAnsi="Times New Roman" w:cs="Times New Roman"/>
          <w:sz w:val="28"/>
          <w:szCs w:val="28"/>
        </w:rPr>
      </w:pPr>
      <w:r>
        <w:rPr>
          <w:rFonts w:ascii="Times New Roman" w:hAnsi="Times New Roman" w:cs="Times New Roman"/>
          <w:sz w:val="28"/>
          <w:szCs w:val="28"/>
        </w:rPr>
        <w:t>e) Trường hợp dự toán chi thường xuyên do Hội đồng nhân dân, Ủy ban nhân dân giao để thực hiện nhiệm vụ mua sắm, sửa chữa, cải tạo, nâng cấp tài sản, trang thiết bị và thuê hàng hóa, dịch vụ cho các cơ quan, đơn vị khác với dự kiến kinh phí thực hiện từ ngân sách nhà nước đã được phê duyệt, cơ quan, đơn vị, người có thẩm quyền quy định tại khoản 2 Điều này có trách nhiệm rà soát, ban hành Quyết định phê duyệt điều chỉnh dự kiến kinh phí, đảm bảo trong phạm vi dự toán được cấp có thẩm quyền giao.</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b/>
          <w:sz w:val="28"/>
          <w:szCs w:val="28"/>
        </w:rPr>
        <w:t>Điều 4. Quy định thẩm quyền quyết định phê duyệt chủ trương và dự kiến kinh phí phí thực hiện sửa chữa, cải tạo, nâng cấp, mở rộng, xây dựng mới hạng mục công trình trong các dự án đã đầu tư xây dựng</w:t>
      </w:r>
      <w:r>
        <w:rPr>
          <w:rFonts w:ascii="Times New Roman" w:hAnsi="Times New Roman" w:cs="Times New Roman"/>
          <w:sz w:val="28"/>
          <w:szCs w:val="28"/>
        </w:rPr>
        <w:t xml:space="preserve"> </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sz w:val="28"/>
          <w:szCs w:val="28"/>
        </w:rPr>
        <w:t>1. Chủ tịch Ủy ban nhân dân các cấp quyết định phê duyệt chủ trương và dự toán kinh phí thực hiện sửa chữa, cải tạo, nâng cấp, mở rộng, xây dựng mới hạng mục công trình trong các dự án đã đầu tư xây dựng của các cơ quan, đơn vị thuộc phạm vi quản lý từ nguồn kinh phí không giao tự chủ (bao gồm nguồn hỗ trợ từ ngân sách cấp trên).</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sz w:val="28"/>
          <w:szCs w:val="28"/>
        </w:rPr>
        <w:t>2. Thủ trưởng các cơ quan, đơn vị quyết định phê duyệt chủ trương và dự toán kinh phí thực hiện sửa chữa, cải tạo, nâng cấp, mở rộng, xây dựng mới hạng mục công trình trong các dự án đã đầu tư xây dựng của các cơ quan, đơn vị từ nguồn kinh phí giao tự chủ.</w:t>
      </w:r>
    </w:p>
    <w:p>
      <w:pPr>
        <w:shd w:val="clear" w:color="auto" w:fill="FFFFFF"/>
        <w:tabs>
          <w:tab w:val="left" w:pos="709"/>
        </w:tabs>
        <w:spacing w:before="20" w:after="20"/>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Điều 5.</w:t>
      </w:r>
      <w:r>
        <w:rPr>
          <w:rFonts w:ascii="Times New Roman" w:hAnsi="Times New Roman" w:cs="Times New Roman"/>
          <w:sz w:val="28"/>
          <w:szCs w:val="28"/>
        </w:rPr>
        <w:t xml:space="preserve"> </w:t>
      </w:r>
      <w:r>
        <w:rPr>
          <w:rFonts w:ascii="Times New Roman" w:hAnsi="Times New Roman" w:cs="Times New Roman"/>
          <w:b/>
          <w:sz w:val="28"/>
          <w:szCs w:val="28"/>
        </w:rPr>
        <w:t xml:space="preserve">Quy định thẩm quyền </w:t>
      </w:r>
      <w:r>
        <w:rPr>
          <w:rFonts w:ascii="Times New Roman" w:hAnsi="Times New Roman" w:cs="Times New Roman"/>
          <w:b/>
          <w:color w:val="000000"/>
          <w:sz w:val="28"/>
          <w:szCs w:val="28"/>
          <w:shd w:val="clear" w:color="auto" w:fill="FFFFFF"/>
        </w:rPr>
        <w:t>quyết định phê duyệt dự kiến chi phí thực hiện hoạt động quy hoạch</w:t>
      </w:r>
    </w:p>
    <w:p>
      <w:pPr>
        <w:rPr>
          <w:rFonts w:ascii="Times New Roman" w:hAnsi="Times New Roman" w:cs="Times New Roman"/>
          <w:sz w:val="28"/>
          <w:szCs w:val="28"/>
        </w:rPr>
      </w:pPr>
      <w:r>
        <w:rPr>
          <w:rFonts w:ascii="Times New Roman" w:hAnsi="Times New Roman" w:cs="Times New Roman"/>
          <w:sz w:val="28"/>
          <w:szCs w:val="28"/>
        </w:rPr>
        <w:t>Cơ quan, tổ chức có thẩm quyền phê duyệt đề cương lập quy hoạch, nhiệm vụ quy hoạch đô thị và nông thôn quy định tại Điều 20 Luật Quy hoạch số 112/2025/QH15 phê duyệt dự kiến chi phí thực hiện hoạt động quy hoạch.</w:t>
      </w:r>
    </w:p>
    <w:p>
      <w:pPr>
        <w:shd w:val="clear" w:color="auto" w:fill="FFFFFF"/>
        <w:tabs>
          <w:tab w:val="left" w:pos="709"/>
        </w:tabs>
        <w:spacing w:before="60" w:after="60"/>
        <w:rPr>
          <w:rFonts w:ascii="Times New Roman" w:hAnsi="Times New Roman" w:cs="Times New Roman"/>
          <w:b/>
          <w:sz w:val="28"/>
          <w:szCs w:val="28"/>
        </w:rPr>
      </w:pPr>
      <w:r>
        <w:rPr>
          <w:rFonts w:ascii="Times New Roman" w:hAnsi="Times New Roman" w:cs="Times New Roman"/>
          <w:b/>
          <w:sz w:val="28"/>
          <w:szCs w:val="28"/>
        </w:rPr>
        <w:t>Điều 6. Tổ chức thực hiện</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sz w:val="28"/>
          <w:szCs w:val="28"/>
        </w:rPr>
        <w:t>1. Cơ quan, đơn vị phê duyệt chủ trương và dự kiến kinh phí chịu trách nhiệm rà soát sự cần thiết, sự phù hợp với quy hoạch, kế hoạch, bảo đảm đúng chế độ, tiêu chuẩn, định mức, đáp ứng</w:t>
      </w:r>
      <w:r>
        <w:t xml:space="preserve"> </w:t>
      </w:r>
      <w:r>
        <w:rPr>
          <w:rFonts w:ascii="Times New Roman" w:hAnsi="Times New Roman" w:cs="Times New Roman"/>
          <w:sz w:val="28"/>
          <w:szCs w:val="28"/>
        </w:rPr>
        <w:t xml:space="preserve">mục tiêu, quy mô, nội dung, dự kiến kinh phí, thời gian thực hiện và các nội dung quan trọng khác (nếu cần thiết); tham </w:t>
      </w:r>
      <w:r>
        <w:rPr>
          <w:rFonts w:ascii="Times New Roman" w:hAnsi="Times New Roman" w:cs="Times New Roman"/>
          <w:sz w:val="28"/>
          <w:szCs w:val="28"/>
        </w:rPr>
        <w:lastRenderedPageBreak/>
        <w:t>vấn ý kiến các cơ quan chuyên môn có liên quan, ý kiến của cơ quan tài chính về khả năng cân đối kinh phí trước khi phê duyệt hoặc trình cấp có thẩm quyền phê duyệt theo quy định; chịu trách nhiệm toàn diện về hồ sơ đề xuất và việc đáp ứng các điều kiện, tiêu chuẩn có liên quan.</w:t>
      </w:r>
    </w:p>
    <w:p>
      <w:pPr>
        <w:shd w:val="clear" w:color="auto" w:fill="FFFFFF"/>
        <w:tabs>
          <w:tab w:val="left" w:pos="709"/>
        </w:tabs>
        <w:spacing w:before="60" w:after="60"/>
        <w:rPr>
          <w:rFonts w:ascii="Times New Roman" w:hAnsi="Times New Roman" w:cs="Times New Roman"/>
          <w:sz w:val="28"/>
          <w:szCs w:val="28"/>
        </w:rPr>
      </w:pPr>
      <w:r>
        <w:rPr>
          <w:rFonts w:ascii="Times New Roman" w:hAnsi="Times New Roman" w:cs="Times New Roman"/>
          <w:sz w:val="28"/>
          <w:szCs w:val="28"/>
        </w:rPr>
        <w:t xml:space="preserve">2. Cơ quan tài chính có trách nhiệm tổng hợp đề xuất của các cơ quan, đơn vị để báo cáo cấp có thẩm quyền xem xét, quyết định bố trí dự toán kinh phí thực hiện phù hợp với khả năng cân đối ngân sách nhà nước hằng năm. </w:t>
      </w:r>
    </w:p>
    <w:p>
      <w:pPr>
        <w:spacing w:before="80" w:after="80" w:line="245"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Điều 7</w:t>
      </w:r>
      <w:r>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 xml:space="preserve">Hiệu lực thi hành </w:t>
      </w:r>
    </w:p>
    <w:p>
      <w:pPr>
        <w:spacing w:before="60" w:after="60" w:line="264" w:lineRule="auto"/>
        <w:ind w:firstLine="561"/>
        <w:rPr>
          <w:rFonts w:ascii="Times New Roman" w:eastAsia="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sz w:val="28"/>
          <w:szCs w:val="28"/>
        </w:rPr>
        <w:t xml:space="preserve">1. Quyết định này có hiệu lực thi hành kể từ ngày ký ban hành. </w:t>
      </w:r>
      <w:r>
        <w:rPr>
          <w:rFonts w:ascii="Times New Roman" w:eastAsia="Times New Roman" w:hAnsi="Times New Roman" w:cs="Times New Roman"/>
          <w:bCs/>
          <w:sz w:val="28"/>
          <w:szCs w:val="28"/>
        </w:rPr>
        <w:t>Trong quá trình tổ chức thực hiện, trường hợp các văn bản được dẫn chiếu để áp dụng tại Quyết định này được sửa đổi, bổ sung hoặc thay thế thì thực hiện theo các văn bản sửa đổi, bổ sung hoặc thay thế đó</w:t>
      </w:r>
    </w:p>
    <w:p>
      <w:pPr>
        <w:spacing w:before="60" w:after="60" w:line="264" w:lineRule="auto"/>
        <w:rPr>
          <w:rFonts w:ascii="Times New Roman" w:hAnsi="Times New Roman" w:cs="Times New Roman"/>
          <w:spacing w:val="-2"/>
          <w:sz w:val="28"/>
          <w:szCs w:val="28"/>
        </w:rPr>
      </w:pPr>
      <w:r>
        <w:rPr>
          <w:rFonts w:ascii="Times New Roman" w:hAnsi="Times New Roman" w:cs="Times New Roman"/>
          <w:spacing w:val="-2"/>
          <w:sz w:val="28"/>
          <w:szCs w:val="28"/>
        </w:rPr>
        <w:t>2. Chánh Văn phòng Ủy ban nhân dân tỉnh, Giám đốc các Sở, Trưởng các ban, ngành, đơn vị cấp tỉnh; Chủ tịch Ủy ban nhân dân các xã, phường; Thủ trưởng các cơ quan, đơn vị có liên quan chịu trách nhiệm thi hành Quyết định này./.</w:t>
      </w:r>
    </w:p>
    <w:p>
      <w:pPr>
        <w:spacing w:before="60" w:after="60" w:line="264" w:lineRule="auto"/>
        <w:rPr>
          <w:rFonts w:ascii="Times New Roman" w:hAnsi="Times New Roman" w:cs="Times New Roman"/>
          <w:sz w:val="28"/>
          <w:szCs w:val="28"/>
        </w:rPr>
      </w:pPr>
    </w:p>
    <w:tbl>
      <w:tblPr>
        <w:tblW w:w="0" w:type="auto"/>
        <w:tblLook w:val="01E0" w:firstRow="1" w:lastRow="1" w:firstColumn="1" w:lastColumn="1" w:noHBand="0" w:noVBand="0"/>
      </w:tblPr>
      <w:tblGrid>
        <w:gridCol w:w="5211"/>
        <w:gridCol w:w="4077"/>
      </w:tblGrid>
      <w:tr>
        <w:trPr>
          <w:trHeight w:val="2400"/>
        </w:trPr>
        <w:tc>
          <w:tcPr>
            <w:tcW w:w="5211" w:type="dxa"/>
            <w:hideMark/>
          </w:tcPr>
          <w:p>
            <w:pPr>
              <w:ind w:firstLine="0"/>
              <w:rPr>
                <w:rFonts w:ascii="Times New Roman" w:eastAsia="Batang" w:hAnsi="Times New Roman" w:cs="Times New Roman"/>
                <w:b/>
                <w:bCs/>
                <w:lang w:eastAsia="ko-KR"/>
              </w:rPr>
            </w:pPr>
            <w:r>
              <w:rPr>
                <w:rFonts w:ascii="Times New Roman" w:hAnsi="Times New Roman" w:cs="Times New Roman"/>
                <w:b/>
                <w:bCs/>
                <w:i/>
                <w:iCs/>
              </w:rPr>
              <w:t>Nơi nhận:</w:t>
            </w:r>
          </w:p>
          <w:p>
            <w:pPr>
              <w:ind w:firstLine="0"/>
              <w:rPr>
                <w:rFonts w:ascii="Times New Roman" w:hAnsi="Times New Roman" w:cs="Times New Roman"/>
              </w:rPr>
            </w:pPr>
            <w:r>
              <w:rPr>
                <w:rFonts w:ascii="Times New Roman" w:hAnsi="Times New Roman" w:cs="Times New Roman"/>
                <w:iCs/>
              </w:rPr>
              <w:t>-</w:t>
            </w:r>
            <w:r>
              <w:rPr>
                <w:rFonts w:ascii="Times New Roman" w:hAnsi="Times New Roman" w:cs="Times New Roman"/>
              </w:rPr>
              <w:t xml:space="preserve"> Như Điều 2 Quyết định;</w:t>
            </w:r>
          </w:p>
          <w:p>
            <w:pPr>
              <w:ind w:right="1030" w:firstLine="0"/>
              <w:rPr>
                <w:rFonts w:ascii="Times New Roman" w:hAnsi="Times New Roman" w:cs="Times New Roman"/>
              </w:rPr>
            </w:pPr>
            <w:r>
              <w:rPr>
                <w:rFonts w:ascii="Times New Roman" w:hAnsi="Times New Roman" w:cs="Times New Roman"/>
              </w:rPr>
              <w:t xml:space="preserve">- Cục Kiểm tra văn bản và Tổ chức thi hành pháp luật, Bộ Tư pháp (để báo cáo); </w:t>
            </w:r>
          </w:p>
          <w:p>
            <w:pPr>
              <w:ind w:firstLine="0"/>
              <w:rPr>
                <w:rFonts w:ascii="Times New Roman" w:hAnsi="Times New Roman" w:cs="Times New Roman"/>
              </w:rPr>
            </w:pPr>
            <w:r>
              <w:rPr>
                <w:rFonts w:ascii="Times New Roman" w:hAnsi="Times New Roman" w:cs="Times New Roman"/>
              </w:rPr>
              <w:t xml:space="preserve">- Thường trực Tỉnh ủy (để báo cáo); </w:t>
            </w:r>
          </w:p>
          <w:p>
            <w:pPr>
              <w:ind w:firstLine="0"/>
              <w:rPr>
                <w:rFonts w:ascii="Times New Roman" w:hAnsi="Times New Roman" w:cs="Times New Roman"/>
              </w:rPr>
            </w:pPr>
            <w:r>
              <w:rPr>
                <w:rFonts w:ascii="Times New Roman" w:hAnsi="Times New Roman" w:cs="Times New Roman"/>
              </w:rPr>
              <w:t xml:space="preserve">- Chủ tịch, các PCT UBND tỉnh; </w:t>
            </w:r>
          </w:p>
          <w:p>
            <w:pPr>
              <w:ind w:firstLine="0"/>
              <w:rPr>
                <w:rFonts w:ascii="Times New Roman" w:hAnsi="Times New Roman" w:cs="Times New Roman"/>
              </w:rPr>
            </w:pPr>
            <w:r>
              <w:rPr>
                <w:rFonts w:ascii="Times New Roman" w:hAnsi="Times New Roman" w:cs="Times New Roman"/>
              </w:rPr>
              <w:t xml:space="preserve">- Báo và Phát thanh, truyền hình Thanh Hóa; </w:t>
            </w:r>
          </w:p>
          <w:p>
            <w:pPr>
              <w:ind w:firstLine="0"/>
              <w:rPr>
                <w:rFonts w:ascii="Times New Roman" w:hAnsi="Times New Roman" w:cs="Times New Roman"/>
              </w:rPr>
            </w:pPr>
            <w:r>
              <w:rPr>
                <w:rFonts w:ascii="Times New Roman" w:hAnsi="Times New Roman" w:cs="Times New Roman"/>
              </w:rPr>
              <w:t xml:space="preserve">- Trung tâm Công báo, Website tỉnh; </w:t>
            </w:r>
          </w:p>
          <w:p>
            <w:pPr>
              <w:ind w:firstLine="0"/>
              <w:rPr>
                <w:rFonts w:ascii="Times New Roman" w:hAnsi="Times New Roman" w:cs="Times New Roman"/>
              </w:rPr>
            </w:pPr>
            <w:r>
              <w:rPr>
                <w:rFonts w:ascii="Times New Roman" w:hAnsi="Times New Roman" w:cs="Times New Roman"/>
              </w:rPr>
              <w:t>- Lưu: VT, KTTC.</w:t>
            </w:r>
          </w:p>
        </w:tc>
        <w:tc>
          <w:tcPr>
            <w:tcW w:w="4077" w:type="dxa"/>
          </w:tcPr>
          <w:p>
            <w:pPr>
              <w:ind w:firstLine="0"/>
              <w:jc w:val="center"/>
              <w:rPr>
                <w:rFonts w:ascii="Times New Roman" w:hAnsi="Times New Roman" w:cs="Times New Roman"/>
                <w:b/>
                <w:sz w:val="26"/>
                <w:szCs w:val="26"/>
              </w:rPr>
            </w:pPr>
            <w:r>
              <w:rPr>
                <w:rFonts w:ascii="Times New Roman" w:hAnsi="Times New Roman" w:cs="Times New Roman"/>
                <w:b/>
                <w:sz w:val="26"/>
                <w:szCs w:val="26"/>
              </w:rPr>
              <w:t>ỦY BAN NHÂN DÂN TỈNH</w:t>
            </w:r>
          </w:p>
          <w:p>
            <w:pPr>
              <w:jc w:val="center"/>
              <w:rPr>
                <w:rFonts w:ascii="Times New Roman" w:hAnsi="Times New Roman" w:cs="Times New Roman"/>
                <w:b/>
                <w:sz w:val="26"/>
                <w:szCs w:val="26"/>
              </w:rPr>
            </w:pPr>
          </w:p>
          <w:p>
            <w:pPr>
              <w:jc w:val="center"/>
              <w:rPr>
                <w:rFonts w:ascii="Times New Roman" w:hAnsi="Times New Roman" w:cs="Times New Roman"/>
                <w:b/>
                <w:sz w:val="26"/>
                <w:szCs w:val="26"/>
              </w:rPr>
            </w:pPr>
          </w:p>
          <w:p>
            <w:pPr>
              <w:rPr>
                <w:rFonts w:ascii="Times New Roman" w:hAnsi="Times New Roman" w:cs="Times New Roman"/>
                <w:b/>
                <w:sz w:val="26"/>
                <w:szCs w:val="26"/>
                <w:lang w:eastAsia="ko-KR"/>
              </w:rPr>
            </w:pPr>
            <w:r>
              <w:rPr>
                <w:rFonts w:ascii="Times New Roman" w:hAnsi="Times New Roman" w:cs="Times New Roman"/>
                <w:b/>
                <w:sz w:val="26"/>
                <w:szCs w:val="26"/>
              </w:rPr>
              <w:t xml:space="preserve"> </w:t>
            </w:r>
          </w:p>
        </w:tc>
      </w:tr>
    </w:tbl>
    <w:p>
      <w:pPr>
        <w:spacing w:line="245" w:lineRule="auto"/>
        <w:ind w:firstLine="0"/>
        <w:rPr>
          <w:sz w:val="2"/>
          <w:szCs w:val="2"/>
          <w:lang w:val="nl-NL"/>
        </w:rPr>
      </w:pPr>
    </w:p>
    <w:sectPr>
      <w:headerReference w:type="default" r:id="rId8"/>
      <w:pgSz w:w="11907" w:h="16840" w:code="9"/>
      <w:pgMar w:top="1021" w:right="1021" w:bottom="851"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65087473"/>
      <w:docPartObj>
        <w:docPartGallery w:val="Page Numbers (Top of Page)"/>
        <w:docPartUnique/>
      </w:docPartObj>
    </w:sdtPr>
    <w:sdtEndPr>
      <w:rPr>
        <w:noProof/>
      </w:rPr>
    </w:sdtEnd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1667A-35A9-4B80-93C7-65FC8C79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Bodytext4">
    <w:name w:val="Body text (4)"/>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Pr>
      <w:szCs w:val="28"/>
      <w:shd w:val="clear" w:color="auto" w:fill="FFFFFF"/>
    </w:rPr>
  </w:style>
  <w:style w:type="paragraph" w:customStyle="1" w:styleId="Vnbnnidung30">
    <w:name w:val="Văn bản nội dung (3)"/>
    <w:basedOn w:val="Normal"/>
    <w:link w:val="Vnbnnidung3"/>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220" w:line="259" w:lineRule="auto"/>
      <w:ind w:firstLine="400"/>
      <w:jc w:val="left"/>
    </w:pPr>
    <w:rPr>
      <w:sz w:val="26"/>
      <w:szCs w:val="26"/>
      <w:lang w:val="en-GB"/>
    </w:rPr>
  </w:style>
  <w:style w:type="paragraph" w:styleId="NormalWeb">
    <w:name w:val="Normal (Web)"/>
    <w:basedOn w:val="Normal"/>
    <w:uiPriority w:val="99"/>
    <w:unhideWhenUsed/>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1"/>
    <w:qFormat/>
    <w:pPr>
      <w:spacing w:after="120"/>
      <w:ind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795880">
      <w:bodyDiv w:val="1"/>
      <w:marLeft w:val="0"/>
      <w:marRight w:val="0"/>
      <w:marTop w:val="0"/>
      <w:marBottom w:val="0"/>
      <w:divBdr>
        <w:top w:val="none" w:sz="0" w:space="0" w:color="auto"/>
        <w:left w:val="none" w:sz="0" w:space="0" w:color="auto"/>
        <w:bottom w:val="none" w:sz="0" w:space="0" w:color="auto"/>
        <w:right w:val="none" w:sz="0" w:space="0" w:color="auto"/>
      </w:divBdr>
    </w:div>
    <w:div w:id="1393388591">
      <w:bodyDiv w:val="1"/>
      <w:marLeft w:val="0"/>
      <w:marRight w:val="0"/>
      <w:marTop w:val="0"/>
      <w:marBottom w:val="0"/>
      <w:divBdr>
        <w:top w:val="none" w:sz="0" w:space="0" w:color="auto"/>
        <w:left w:val="none" w:sz="0" w:space="0" w:color="auto"/>
        <w:bottom w:val="none" w:sz="0" w:space="0" w:color="auto"/>
        <w:right w:val="none" w:sz="0" w:space="0" w:color="auto"/>
      </w:divBdr>
    </w:div>
    <w:div w:id="1809660535">
      <w:bodyDiv w:val="1"/>
      <w:marLeft w:val="0"/>
      <w:marRight w:val="0"/>
      <w:marTop w:val="0"/>
      <w:marBottom w:val="0"/>
      <w:divBdr>
        <w:top w:val="none" w:sz="0" w:space="0" w:color="auto"/>
        <w:left w:val="none" w:sz="0" w:space="0" w:color="auto"/>
        <w:bottom w:val="none" w:sz="0" w:space="0" w:color="auto"/>
        <w:right w:val="none" w:sz="0" w:space="0" w:color="auto"/>
      </w:divBdr>
    </w:div>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25408E3-7B62-48A2-82D4-BA0A367C1598}">
  <ds:schemaRefs>
    <ds:schemaRef ds:uri="http://schemas.openxmlformats.org/officeDocument/2006/bibliography"/>
  </ds:schemaRefs>
</ds:datastoreItem>
</file>

<file path=customXml/itemProps2.xml><?xml version="1.0" encoding="utf-8"?>
<ds:datastoreItem xmlns:ds="http://schemas.openxmlformats.org/officeDocument/2006/customXml" ds:itemID="{49567A54-CF12-42B5-B442-F7379BE7FFFE}"/>
</file>

<file path=customXml/itemProps3.xml><?xml version="1.0" encoding="utf-8"?>
<ds:datastoreItem xmlns:ds="http://schemas.openxmlformats.org/officeDocument/2006/customXml" ds:itemID="{3E7EF454-3DE7-4DBC-B9DB-F840051DF741}"/>
</file>

<file path=customXml/itemProps4.xml><?xml version="1.0" encoding="utf-8"?>
<ds:datastoreItem xmlns:ds="http://schemas.openxmlformats.org/officeDocument/2006/customXml" ds:itemID="{6E17DD9B-6624-4B30-9FBF-4F6F4A77220B}"/>
</file>

<file path=docProps/app.xml><?xml version="1.0" encoding="utf-8"?>
<Properties xmlns="http://schemas.openxmlformats.org/officeDocument/2006/extended-properties" xmlns:vt="http://schemas.openxmlformats.org/officeDocument/2006/docPropsVTypes">
  <Template>Normal</Template>
  <TotalTime>1997</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User</cp:lastModifiedBy>
  <cp:revision>404</cp:revision>
  <cp:lastPrinted>2026-05-13T10:07:00Z</cp:lastPrinted>
  <dcterms:created xsi:type="dcterms:W3CDTF">2024-03-04T02:56:00Z</dcterms:created>
  <dcterms:modified xsi:type="dcterms:W3CDTF">2026-05-13T10:38:00Z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