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9" w:type="dxa"/>
        <w:tblLook w:val="0000" w:firstRow="0" w:lastRow="0" w:firstColumn="0" w:lastColumn="0" w:noHBand="0" w:noVBand="0"/>
      </w:tblPr>
      <w:tblGrid>
        <w:gridCol w:w="3144"/>
        <w:gridCol w:w="6145"/>
      </w:tblGrid>
      <w:tr>
        <w:trPr>
          <w:trHeight w:val="1409"/>
        </w:trPr>
        <w:tc>
          <w:tcPr>
            <w:tcW w:w="3144"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ỦY BAN NHÂN DÂN</w:t>
            </w:r>
          </w:p>
          <w:p>
            <w:pPr>
              <w:ind w:firstLine="0"/>
              <w:jc w:val="center"/>
              <w:rPr>
                <w:rFonts w:ascii="Times New Roman" w:hAnsi="Times New Roman" w:cs="Times New Roman"/>
                <w:b/>
                <w:bCs/>
                <w:sz w:val="26"/>
                <w:szCs w:val="26"/>
              </w:rPr>
            </w:pPr>
            <w:r>
              <w:rPr>
                <w:rFonts w:ascii="Times New Roman" w:hAnsi="Times New Roman" w:cs="Times New Roman"/>
                <w:b/>
                <w:bCs/>
                <w:sz w:val="26"/>
                <w:szCs w:val="26"/>
              </w:rPr>
              <w:t>TỈNH THANH HÓA</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81280" behindDoc="0" locked="0" layoutInCell="1" allowOverlap="1">
                      <wp:simplePos x="0" y="0"/>
                      <wp:positionH relativeFrom="column">
                        <wp:posOffset>507365</wp:posOffset>
                      </wp:positionH>
                      <wp:positionV relativeFrom="paragraph">
                        <wp:posOffset>62704</wp:posOffset>
                      </wp:positionV>
                      <wp:extent cx="800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FBF3F2" id="Straight Connector 8" o:spid="_x0000_s1026" style="position:absolute;flip:y;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4.95pt" to="102.9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crrtAEAAFEDAAAOAAAAZHJzL2Uyb0RvYy54bWysU01v2zAMvQ/YfxB0X+QE6NAZcXpI2126 LUC73Rl92EJlURCV2Pn3k9Q0LbbbMB8ESSSf3nuk1zfz6NhRR7LoO75cNJxpL1FZ33f859P9p2vO KIFX4NDrjp808ZvNxw/rKbR6hQM6pSPLIJ7aKXR8SCm0QpAc9Ai0wKB9DhqMI6R8jL1QEaaMPjqx aprPYsKoQkSpifLt7UuQbyq+MVqmH8aQTsx1PHNLdY113ZdVbNbQ9hHCYOWZBvwDixGsz49eoG4h ATtE+xfUaGVEQpMWEkeBxlipq4asZtn8oeZxgKCrlmwOhYtN9P9g5ffj1u9ioS5n/xgeUD4T87gd wPe6Eng6hdy4ZbFKTIHaS0k5UNhFtp++oco5cEhYXZhNHJlxNvwqhQU8K2Vztf10sV3Picl8ed1k 6bk58jUkoC0IpS5ESl81jqxsOu6sL4ZAC8cHSoXRW0q59nhvnatNdZ5NHf9ytbqqBYTOqhIsaRT7 /dZFdoQyFvWr8nLkfVrEg1cVbNCg7s77BNa97PPjzp9dKUaUqaN2j+q0i69u5b5VlucZK4Px/lyr 3/6EzW8AAAD//wMAUEsDBBQABgAIAAAAIQB3k0Ei2QAAAAYBAAAPAAAAZHJzL2Rvd25yZXYueG1s TI7NTsMwEITvSLyDtUjcqE0QPwlxqgoBFySklsDZiZckwl5HsZuGt2fLBU47oxnNfuV68U7MOMUh kIbLlQKB1AY7UKehfnu6uAMRkyFrXCDU8I0R1tXpSWkKGw60xXmXOsEjFAujoU9pLKSMbY/exFUY kTj7DJM3ie3USTuZA497JzOlbqQ3A/GH3oz40GP7tdt7DZuPl8er17nxwdm8q9+tr9VzpvX52bK5 B5FwSX9lOOIzOlTM1IQ92Sichts856aG4+E4U9csml8vq1L+x69+AAAA//8DAFBLAQItABQABgAI AAAAIQC2gziS/gAAAOEBAAATAAAAAAAAAAAAAAAAAAAAAABbQ29udGVudF9UeXBlc10ueG1sUEsB Ai0AFAAGAAgAAAAhADj9If/WAAAAlAEAAAsAAAAAAAAAAAAAAAAALwEAAF9yZWxzLy5yZWxzUEsB Ai0AFAAGAAgAAAAhADvByuu0AQAAUQMAAA4AAAAAAAAAAAAAAAAALgIAAGRycy9lMm9Eb2MueG1s UEsBAi0AFAAGAAgAAAAhAHeTQSLZAAAABgEAAA8AAAAAAAAAAAAAAAAADgQAAGRycy9kb3ducmV2 LnhtbFBLBQYAAAAABAAEAPMAAAAUBQAAAAA= "/>
                  </w:pict>
                </mc:Fallback>
              </mc:AlternateContent>
            </w:r>
          </w:p>
          <w:p>
            <w:pPr>
              <w:ind w:firstLine="0"/>
              <w:jc w:val="center"/>
              <w:rPr>
                <w:rFonts w:ascii="Times New Roman" w:hAnsi="Times New Roman" w:cs="Times New Roman"/>
                <w:sz w:val="28"/>
                <w:szCs w:val="26"/>
              </w:rPr>
            </w:pPr>
            <w:r>
              <w:rPr>
                <w:rFonts w:ascii="Times New Roman" w:hAnsi="Times New Roman" w:cs="Times New Roman"/>
                <w:sz w:val="28"/>
                <w:szCs w:val="26"/>
              </w:rPr>
              <w:t>Số:            /TTr-UBND</w:t>
            </w:r>
          </w:p>
          <w:p>
            <w:pPr>
              <w:ind w:firstLine="0"/>
              <w:rPr>
                <w:rFonts w:ascii="Times New Roman" w:hAnsi="Times New Roman" w:cs="Times New Roman"/>
                <w:sz w:val="24"/>
                <w:szCs w:val="24"/>
              </w:rPr>
            </w:pPr>
          </w:p>
        </w:tc>
        <w:tc>
          <w:tcPr>
            <w:tcW w:w="6145"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ind w:firstLine="0"/>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2304" behindDoc="0" locked="0" layoutInCell="1" allowOverlap="1">
                      <wp:simplePos x="0" y="0"/>
                      <wp:positionH relativeFrom="column">
                        <wp:posOffset>768350</wp:posOffset>
                      </wp:positionH>
                      <wp:positionV relativeFrom="paragraph">
                        <wp:posOffset>61434</wp:posOffset>
                      </wp:positionV>
                      <wp:extent cx="2193290" cy="0"/>
                      <wp:effectExtent l="0" t="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84B8F4" id="Straight Connector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85pt" to="233.2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fJ0sAEAAEgDAAAOAAAAZHJzL2Uyb0RvYy54bWysU8Fu2zAMvQ/YPwi6L04ydFiMOD2k6y7d FqDdBzCSbAuVRYFUYufvJ6lJWmy3oT4Ikkg+vfdIr2+nwYmjIbboG7mYzaUwXqG2vmvk76f7T1+l 4Aheg0NvGnkyLG83Hz+sx1CbJfbotCGRQDzXY2hkH2Ooq4pVbwbgGQbjU7BFGiCmI3WVJhgT+uCq 5Xz+pRqRdCBUhjnd3r0E5abgt61R8VfbsonCNTJxi2Wlsu7zWm3WUHcEobfqTAP+g8UA1qdHr1B3 EEEcyP4DNVhFyNjGmcKhwra1yhQNSc1i/peaxx6CKVqSORyuNvH7waqfx63fUaauJv8YHlA9s/C4 7cF3phB4OoXUuEW2qhoD19eSfOCwI7Eff6BOOXCIWFyYWhoyZNInpmL26Wq2maJQ6XK5WH1erlJP 1CVWQX0pDMTxu8FB5E0jnfXZB6jh+MAxE4H6kpKvPd5b50ovnRdjI1c3y5tSwOiszsGcxtTtt47E EfI0lK+oSpG3aYQHrwtYb0B/O+8jWPeyT487fzYj68/DxvUe9WlHF5NSuwrL82jleXh7LtWvP8Dm DwAAAP//AwBQSwMEFAAGAAgAAAAhAP8jpu7bAAAABwEAAA8AAABkcnMvZG93bnJldi54bWxMj8FO wzAQRO9I/IO1SFwq6jRUAUKcCgG5cWkBcd3GSxIRr9PYbQNfz8IFjk+zmnlbrCbXqwONofNsYDFP QBHX3nbcGHh5ri6uQYWIbLH3TAY+KcCqPD0pMLf+yGs6bGKjpIRDjgbaGIdc61C35DDM/UAs2bsf HUbBsdF2xKOUu16nSZJphx3LQosD3bdUf2z2zkCoXmlXfc3qWfJ22XhKdw9Pj2jM+dl0dwsq0hT/ juFHX9ShFKet37MNqhdOF/JLNHBzBUryZZYtQW1/WZeF/u9ffgMAAP//AwBQSwECLQAUAAYACAAA ACEAtoM4kv4AAADhAQAAEwAAAAAAAAAAAAAAAAAAAAAAW0NvbnRlbnRfVHlwZXNdLnhtbFBLAQIt ABQABgAIAAAAIQA4/SH/1gAAAJQBAAALAAAAAAAAAAAAAAAAAC8BAABfcmVscy8ucmVsc1BLAQIt ABQABgAIAAAAIQAwQfJ0sAEAAEgDAAAOAAAAAAAAAAAAAAAAAC4CAABkcnMvZTJvRG9jLnhtbFBL AQItABQABgAIAAAAIQD/I6bu2wAAAAcBAAAPAAAAAAAAAAAAAAAAAAoEAABkcnMvZG93bnJldi54 bWxQSwUGAAAAAAQABADzAAAAEgUAAAAA "/>
                  </w:pict>
                </mc:Fallback>
              </mc:AlternateContent>
            </w:r>
          </w:p>
          <w:p>
            <w:pPr>
              <w:ind w:firstLine="0"/>
              <w:jc w:val="center"/>
              <w:rPr>
                <w:rFonts w:ascii="Times New Roman" w:hAnsi="Times New Roman" w:cs="Times New Roman"/>
                <w:b/>
                <w:bCs/>
                <w:sz w:val="28"/>
                <w:szCs w:val="28"/>
                <w:lang w:val="en-US"/>
              </w:rPr>
            </w:pPr>
            <w:r>
              <w:rPr>
                <w:rFonts w:ascii="Times New Roman" w:hAnsi="Times New Roman" w:cs="Times New Roman"/>
                <w:i/>
                <w:iCs/>
                <w:sz w:val="28"/>
                <w:szCs w:val="28"/>
              </w:rPr>
              <w:t>Thanh Hóa, ngày         tháng       năm 202</w:t>
            </w:r>
            <w:r>
              <w:rPr>
                <w:rFonts w:ascii="Times New Roman" w:hAnsi="Times New Roman" w:cs="Times New Roman"/>
                <w:i/>
                <w:iCs/>
                <w:sz w:val="28"/>
                <w:szCs w:val="28"/>
                <w:lang w:val="en-US"/>
              </w:rPr>
              <w:t>6</w:t>
            </w:r>
          </w:p>
        </w:tc>
      </w:tr>
    </w:tbl>
    <w:p>
      <w:pPr>
        <w:ind w:firstLine="0"/>
        <w:jc w:val="center"/>
        <w:rPr>
          <w:rFonts w:ascii="Times New Roman" w:eastAsia="Times New Roman" w:hAnsi="Times New Roman" w:cs="Times New Roman"/>
          <w:b/>
          <w:sz w:val="2"/>
          <w:szCs w:val="2"/>
        </w:rPr>
      </w:pPr>
    </w:p>
    <w:tbl>
      <w:tblPr>
        <w:tblStyle w:val="TableGrid"/>
        <w:tblW w:w="0" w:type="auto"/>
        <w:tblLook w:val="04A0" w:firstRow="1" w:lastRow="0" w:firstColumn="1" w:lastColumn="0" w:noHBand="0" w:noVBand="1"/>
      </w:tblPr>
      <w:tblGrid>
        <w:gridCol w:w="1607"/>
      </w:tblGrid>
      <w:tr>
        <w:trPr>
          <w:trHeight w:val="286"/>
        </w:trPr>
        <w:tc>
          <w:tcPr>
            <w:tcW w:w="1607" w:type="dxa"/>
          </w:tcPr>
          <w:p>
            <w:pPr>
              <w:ind w:firstLine="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DỰ THẢO</w:t>
            </w:r>
          </w:p>
        </w:tc>
      </w:tr>
    </w:tbl>
    <w:p>
      <w:pPr>
        <w:ind w:firstLine="0"/>
        <w:jc w:val="center"/>
        <w:rPr>
          <w:rFonts w:ascii="Times New Roman" w:eastAsia="Times New Roman" w:hAnsi="Times New Roman" w:cs="Times New Roman"/>
          <w:b/>
          <w:sz w:val="10"/>
          <w:szCs w:val="10"/>
        </w:rPr>
      </w:pPr>
    </w:p>
    <w:p>
      <w:pPr>
        <w:ind w:firstLine="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TỜ TRÌNH</w:t>
      </w:r>
    </w:p>
    <w:p>
      <w:pPr>
        <w:ind w:right="-110" w:firstLine="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Về việc đề nghị ban hành Nghị quyết của Hội đồng nhân dân tỉnh về Quy</w:t>
      </w:r>
      <w:r>
        <w:rPr>
          <w:rFonts w:ascii="Times New Roman" w:eastAsia="Times New Roman" w:hAnsi="Times New Roman" w:cs="Times New Roman"/>
          <w:b/>
          <w:sz w:val="27"/>
          <w:szCs w:val="27"/>
          <w:lang w:val="en-US"/>
        </w:rPr>
        <w:t xml:space="preserve"> </w:t>
      </w:r>
      <w:r>
        <w:rPr>
          <w:rFonts w:ascii="Times New Roman" w:eastAsia="Times New Roman" w:hAnsi="Times New Roman" w:cs="Times New Roman"/>
          <w:b/>
          <w:sz w:val="27"/>
          <w:szCs w:val="27"/>
        </w:rPr>
        <w:t>định</w:t>
      </w:r>
    </w:p>
    <w:p>
      <w:pPr>
        <w:ind w:right="-110" w:firstLine="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7"/>
          <w:szCs w:val="27"/>
        </w:rPr>
        <w:t xml:space="preserve"> </w:t>
      </w:r>
      <w:r>
        <w:rPr>
          <w:rFonts w:ascii="Times New Roman" w:eastAsia="Times New Roman" w:hAnsi="Times New Roman" w:cs="Times New Roman"/>
          <w:b/>
          <w:sz w:val="28"/>
          <w:szCs w:val="28"/>
          <w:lang w:val="en-US"/>
        </w:rPr>
        <w:t xml:space="preserve">nội dung, mức chi cho công tác đào tạo, bồi dưỡng công chức, </w:t>
      </w:r>
    </w:p>
    <w:p>
      <w:pPr>
        <w:ind w:right="-11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viên chức thuộc phạm vi quản lý của </w:t>
      </w:r>
      <w:r>
        <w:rPr>
          <w:rFonts w:ascii="Times New Roman" w:eastAsia="Times New Roman" w:hAnsi="Times New Roman" w:cs="Times New Roman"/>
          <w:b/>
          <w:sz w:val="28"/>
          <w:szCs w:val="28"/>
        </w:rPr>
        <w:t>tỉnh Thanh Hóa</w:t>
      </w:r>
    </w:p>
    <w:p>
      <w:pPr>
        <w:ind w:firstLine="0"/>
        <w:jc w:val="center"/>
        <w:rPr>
          <w:rFonts w:ascii="Times New Roman" w:eastAsia="Times New Roman" w:hAnsi="Times New Roman" w:cs="Times New Roman"/>
          <w:sz w:val="28"/>
          <w:szCs w:val="28"/>
        </w:rPr>
      </w:pPr>
      <w:r>
        <w:rPr>
          <w:rFonts w:ascii="Times New Roman" w:eastAsia="Times New Roman" w:hAnsi="Times New Roman" w:cs="Times New Roman"/>
          <w:bCs/>
          <w:noProof/>
          <w:sz w:val="26"/>
          <w:szCs w:val="26"/>
          <w:lang w:val="en-US"/>
        </w:rPr>
        <mc:AlternateContent>
          <mc:Choice Requires="wps">
            <w:drawing>
              <wp:anchor distT="0" distB="0" distL="114300" distR="114300" simplePos="0" relativeHeight="251680256" behindDoc="0" locked="0" layoutInCell="1" allowOverlap="1">
                <wp:simplePos x="0" y="0"/>
                <wp:positionH relativeFrom="column">
                  <wp:posOffset>2157730</wp:posOffset>
                </wp:positionH>
                <wp:positionV relativeFrom="paragraph">
                  <wp:posOffset>66304</wp:posOffset>
                </wp:positionV>
                <wp:extent cx="1534198"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1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C49FF0" id="Line 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5.2pt" to="290.7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05usAEAAEgDAAAOAAAAZHJzL2Uyb0RvYy54bWysU8Fu2zAMvQ/YPwi6L46zZViNOD2k6y7d FqDdBzCSbAuVRYFU4uTvJ6lJVmy3oT4Iokg+vfdEr26PoxMHQ2zRt7KezaUwXqG2vm/lr6f7D1+k 4Aheg0NvWnkyLG/X79+tptCYBQ7otCGRQDw3U2jlEGNoqorVYEbgGQbjU7JDGiGmkPpKE0wJfXTV Yj7/XE1IOhAqw5xO716Scl3wu86o+LPr2EThWpm4xbJSWXd5rdYraHqCMFh1pgH/wWIE69OlV6g7 iCD2ZP+BGq0iZOziTOFYYddZZYqGpKae/6XmcYBgipZkDoerTfx2sOrHYeO3lKmro38MD6ieWXjc DOB7Uwg8nUJ6uDpbVU2Bm2tLDjhsSeym76hTDewjFheOHY0ZMukTx2L26Wq2OUah0mG9/Pipvknj oS65CppLYyCO3wyOIm9a6azPPkADhweOmQg0l5J87PHeOlfe0nkxtfJmuViWBkZndU7mMqZ+t3Ek DpCnoXxFVcq8LiPce13ABgP663kfwbqXfbrc+bMZWX8eNm52qE9bupiUnquwPI9WnofXcen+8wOs fwMAAP//AwBQSwMEFAAGAAgAAAAhACkjsezdAAAACQEAAA8AAABkcnMvZG93bnJldi54bWxMj0FP wzAMhe9I/IfISFymLdkK0yhNJwT0xmUDxNVrTVvROF2TbYVfjxEHuNl+T8/fy9aj69SRhtB6tjCf GVDEpa9ari28PBfTFagQkSvsPJOFTwqwzs/PMkwrf+INHbexVhLCIUULTYx9qnUoG3IYZr4nFu3d Dw6jrEOtqwFPEu46vTBmqR22LB8a7Om+ofJje3AWQvFK++JrUk7MW1J7Wuwfnh7R2suL8e4WVKQx /pnhB1/QIRemnT9wFVRnIUluBD2KYK5AieF6NZdh93vQeab/N8i/AQAA//8DAFBLAQItABQABgAI AAAAIQC2gziS/gAAAOEBAAATAAAAAAAAAAAAAAAAAAAAAABbQ29udGVudF9UeXBlc10ueG1sUEsB Ai0AFAAGAAgAAAAhADj9If/WAAAAlAEAAAsAAAAAAAAAAAAAAAAALwEAAF9yZWxzLy5yZWxzUEsB Ai0AFAAGAAgAAAAhAKMPTm6wAQAASAMAAA4AAAAAAAAAAAAAAAAALgIAAGRycy9lMm9Eb2MueG1s UEsBAi0AFAAGAAgAAAAhACkjsezdAAAACQEAAA8AAAAAAAAAAAAAAAAACgQAAGRycy9kb3ducmV2 LnhtbFBLBQYAAAAABAAEAPMAAAAUBQAAAAA= "/>
            </w:pict>
          </mc:Fallback>
        </mc:AlternateContent>
      </w:r>
    </w:p>
    <w:p>
      <w:pPr>
        <w:spacing w:before="240" w:after="240"/>
        <w:ind w:firstLine="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Kính gửi: Hội đồng nhân dân tỉnh Thanh Hóa.</w:t>
      </w:r>
    </w:p>
    <w:p>
      <w:pPr>
        <w:spacing w:before="120" w:after="120" w:line="252" w:lineRule="auto"/>
        <w:ind w:firstLine="0"/>
        <w:jc w:val="center"/>
        <w:rPr>
          <w:rFonts w:ascii="Times New Roman" w:eastAsia="Times New Roman" w:hAnsi="Times New Roman" w:cs="Times New Roman"/>
          <w:sz w:val="10"/>
          <w:szCs w:val="10"/>
        </w:rPr>
      </w:pPr>
    </w:p>
    <w:p>
      <w:pPr>
        <w:pStyle w:val="NormalWeb"/>
        <w:shd w:val="clear" w:color="auto" w:fill="FFFFFF"/>
        <w:tabs>
          <w:tab w:val="left" w:pos="709"/>
        </w:tabs>
        <w:spacing w:before="60" w:beforeAutospacing="0" w:after="0" w:afterAutospacing="0"/>
        <w:jc w:val="both"/>
        <w:rPr>
          <w:sz w:val="28"/>
          <w:szCs w:val="28"/>
          <w:lang w:val="en"/>
        </w:rPr>
      </w:pPr>
      <w:r>
        <w:rPr>
          <w:sz w:val="28"/>
          <w:szCs w:val="28"/>
          <w:lang w:val="en"/>
        </w:rPr>
        <w:tab/>
        <w:t xml:space="preserve">Thực hiện quy định của Luật Ban hành văn bản quy phạm pháp luật, </w:t>
      </w:r>
      <w:r>
        <w:rPr>
          <w:sz w:val="28"/>
          <w:szCs w:val="28"/>
          <w:lang w:val="vi-VN"/>
        </w:rPr>
        <w:t>UBND</w:t>
      </w:r>
      <w:r>
        <w:rPr>
          <w:sz w:val="28"/>
          <w:szCs w:val="28"/>
          <w:lang w:val="en"/>
        </w:rPr>
        <w:t xml:space="preserve"> tỉnh kính trình </w:t>
      </w:r>
      <w:r>
        <w:rPr>
          <w:sz w:val="28"/>
          <w:szCs w:val="28"/>
          <w:lang w:val="vi-VN"/>
        </w:rPr>
        <w:t>HĐND</w:t>
      </w:r>
      <w:r>
        <w:rPr>
          <w:sz w:val="28"/>
          <w:szCs w:val="28"/>
        </w:rPr>
        <w:t xml:space="preserve"> tỉnh </w:t>
      </w:r>
      <w:r>
        <w:rPr>
          <w:sz w:val="28"/>
          <w:szCs w:val="28"/>
          <w:lang w:val="en"/>
        </w:rPr>
        <w:t>về việc ban hành “</w:t>
      </w:r>
      <w:r>
        <w:rPr>
          <w:sz w:val="28"/>
          <w:szCs w:val="28"/>
        </w:rPr>
        <w:t xml:space="preserve">Quy định nội dung, mức chi cho công tác đào tạo, bồi dưỡng công chức, viên chức thuộc phạm vi quản lý của tỉnh Thanh Hóa” </w:t>
      </w:r>
      <w:r>
        <w:rPr>
          <w:sz w:val="28"/>
          <w:szCs w:val="28"/>
          <w:lang w:val="en"/>
        </w:rPr>
        <w:t>như sau:</w:t>
      </w:r>
    </w:p>
    <w:p>
      <w:pPr>
        <w:pStyle w:val="BodyText"/>
        <w:spacing w:before="60"/>
        <w:ind w:firstLine="720"/>
        <w:rPr>
          <w:rFonts w:ascii="Times New Roman" w:hAnsi="Times New Roman"/>
          <w:b/>
          <w:szCs w:val="28"/>
        </w:rPr>
      </w:pPr>
      <w:r>
        <w:rPr>
          <w:rFonts w:ascii="Times New Roman" w:hAnsi="Times New Roman"/>
          <w:b/>
          <w:szCs w:val="28"/>
        </w:rPr>
        <w:t>I. SỰ CẦN THIẾT BAN HÀNH NGHỊ QUYẾT</w:t>
      </w:r>
    </w:p>
    <w:p>
      <w:pPr>
        <w:spacing w:before="60"/>
        <w:ind w:firstLine="706"/>
        <w:rPr>
          <w:rFonts w:ascii="Times New Roman" w:hAnsi="Times New Roman" w:cs="Times New Roman"/>
          <w:b/>
          <w:bCs/>
          <w:sz w:val="28"/>
          <w:szCs w:val="28"/>
        </w:rPr>
      </w:pPr>
      <w:r>
        <w:rPr>
          <w:rFonts w:ascii="Times New Roman" w:hAnsi="Times New Roman" w:cs="Times New Roman"/>
          <w:b/>
          <w:bCs/>
          <w:sz w:val="28"/>
          <w:szCs w:val="28"/>
        </w:rPr>
        <w:t>1. Cơ sở chính trị</w:t>
      </w:r>
    </w:p>
    <w:p>
      <w:pPr>
        <w:widowControl w:val="0"/>
        <w:spacing w:before="60"/>
        <w:ind w:firstLine="706"/>
        <w:rPr>
          <w:rFonts w:ascii="Times New Roman" w:hAnsi="Times New Roman" w:cs="Times New Roman"/>
          <w:bCs/>
          <w:spacing w:val="-2"/>
          <w:sz w:val="28"/>
          <w:szCs w:val="28"/>
        </w:rPr>
      </w:pPr>
      <w:r>
        <w:rPr>
          <w:rFonts w:ascii="Times New Roman" w:hAnsi="Times New Roman" w:cs="Times New Roman"/>
          <w:bCs/>
          <w:spacing w:val="-2"/>
          <w:sz w:val="28"/>
          <w:szCs w:val="28"/>
        </w:rPr>
        <w:t xml:space="preserve">Căn cứ </w:t>
      </w:r>
      <w:r>
        <w:rPr>
          <w:rFonts w:ascii="Times New Roman" w:hAnsi="Times New Roman" w:cs="Times New Roman"/>
          <w:bCs/>
          <w:spacing w:val="-2"/>
          <w:sz w:val="28"/>
          <w:szCs w:val="28"/>
          <w:lang w:val="en-US"/>
        </w:rPr>
        <w:t>khoản 6</w:t>
      </w:r>
      <w:r>
        <w:rPr>
          <w:rFonts w:ascii="Times New Roman" w:hAnsi="Times New Roman" w:cs="Times New Roman"/>
          <w:bCs/>
          <w:spacing w:val="-2"/>
          <w:sz w:val="28"/>
          <w:szCs w:val="28"/>
        </w:rPr>
        <w:t xml:space="preserve"> Điều </w:t>
      </w:r>
      <w:r>
        <w:rPr>
          <w:rFonts w:ascii="Times New Roman" w:hAnsi="Times New Roman" w:cs="Times New Roman"/>
          <w:bCs/>
          <w:spacing w:val="-2"/>
          <w:sz w:val="28"/>
          <w:szCs w:val="28"/>
          <w:lang w:val="en-US"/>
        </w:rPr>
        <w:t>2</w:t>
      </w:r>
      <w:r>
        <w:rPr>
          <w:rFonts w:ascii="Times New Roman" w:hAnsi="Times New Roman" w:cs="Times New Roman"/>
          <w:bCs/>
          <w:spacing w:val="-2"/>
          <w:sz w:val="28"/>
          <w:szCs w:val="28"/>
        </w:rPr>
        <w:t xml:space="preserve"> Quy chế số 0</w:t>
      </w:r>
      <w:r>
        <w:rPr>
          <w:rFonts w:ascii="Times New Roman" w:hAnsi="Times New Roman" w:cs="Times New Roman"/>
          <w:bCs/>
          <w:spacing w:val="-2"/>
          <w:sz w:val="28"/>
          <w:szCs w:val="28"/>
          <w:lang w:val="en-US"/>
        </w:rPr>
        <w:t>1</w:t>
      </w:r>
      <w:r>
        <w:rPr>
          <w:rFonts w:ascii="Times New Roman" w:hAnsi="Times New Roman" w:cs="Times New Roman"/>
          <w:bCs/>
          <w:spacing w:val="-2"/>
          <w:sz w:val="28"/>
          <w:szCs w:val="28"/>
        </w:rPr>
        <w:t xml:space="preserve">-QC/TU ngày </w:t>
      </w:r>
      <w:r>
        <w:rPr>
          <w:rFonts w:ascii="Times New Roman" w:hAnsi="Times New Roman" w:cs="Times New Roman"/>
          <w:bCs/>
          <w:spacing w:val="-2"/>
          <w:sz w:val="28"/>
          <w:szCs w:val="28"/>
          <w:lang w:val="en-US"/>
        </w:rPr>
        <w:t>14/11/2025</w:t>
      </w:r>
      <w:r>
        <w:rPr>
          <w:rFonts w:ascii="Times New Roman" w:hAnsi="Times New Roman" w:cs="Times New Roman"/>
          <w:bCs/>
          <w:spacing w:val="-2"/>
          <w:sz w:val="28"/>
          <w:szCs w:val="28"/>
        </w:rPr>
        <w:t xml:space="preserve"> của Ban Chấp hành Đảng bộ tỉnh </w:t>
      </w:r>
      <w:r>
        <w:rPr>
          <w:rFonts w:ascii="Times New Roman" w:hAnsi="Times New Roman" w:cs="Times New Roman"/>
          <w:bCs/>
          <w:spacing w:val="-2"/>
          <w:sz w:val="28"/>
          <w:szCs w:val="28"/>
          <w:lang w:val="en-US"/>
        </w:rPr>
        <w:t xml:space="preserve">Thanh Hóa </w:t>
      </w:r>
      <w:r>
        <w:rPr>
          <w:rFonts w:ascii="Times New Roman" w:hAnsi="Times New Roman" w:cs="Times New Roman"/>
          <w:bCs/>
          <w:spacing w:val="-2"/>
          <w:sz w:val="28"/>
          <w:szCs w:val="28"/>
        </w:rPr>
        <w:t>khóa XX, nhiệm kỳ 202</w:t>
      </w:r>
      <w:r>
        <w:rPr>
          <w:rFonts w:ascii="Times New Roman" w:hAnsi="Times New Roman" w:cs="Times New Roman"/>
          <w:bCs/>
          <w:spacing w:val="-2"/>
          <w:sz w:val="28"/>
          <w:szCs w:val="28"/>
          <w:lang w:val="en-US"/>
        </w:rPr>
        <w:t>5</w:t>
      </w:r>
      <w:r>
        <w:rPr>
          <w:rFonts w:ascii="Times New Roman" w:hAnsi="Times New Roman" w:cs="Times New Roman"/>
          <w:bCs/>
          <w:spacing w:val="-2"/>
          <w:sz w:val="28"/>
          <w:szCs w:val="28"/>
        </w:rPr>
        <w:t xml:space="preserve"> - 20</w:t>
      </w:r>
      <w:r>
        <w:rPr>
          <w:rFonts w:ascii="Times New Roman" w:hAnsi="Times New Roman" w:cs="Times New Roman"/>
          <w:bCs/>
          <w:spacing w:val="-2"/>
          <w:sz w:val="28"/>
          <w:szCs w:val="28"/>
          <w:lang w:val="en-US"/>
        </w:rPr>
        <w:t>30</w:t>
      </w:r>
      <w:r>
        <w:rPr>
          <w:rFonts w:ascii="Times New Roman" w:hAnsi="Times New Roman" w:cs="Times New Roman"/>
          <w:bCs/>
          <w:spacing w:val="-2"/>
          <w:sz w:val="28"/>
          <w:szCs w:val="28"/>
        </w:rPr>
        <w:t xml:space="preserve">: </w:t>
      </w:r>
      <w:r>
        <w:rPr>
          <w:rFonts w:ascii="Times New Roman" w:hAnsi="Times New Roman" w:cs="Times New Roman"/>
          <w:bCs/>
          <w:i/>
          <w:iCs/>
          <w:spacing w:val="-2"/>
          <w:sz w:val="28"/>
          <w:szCs w:val="28"/>
        </w:rPr>
        <w:t>Ban Thường vụ Tỉnh ủy có quyền hạn cho ý kiến về nội dung, chương trình kỳ họp của HĐND tỉnh</w:t>
      </w:r>
      <w:r>
        <w:rPr>
          <w:rFonts w:ascii="Times New Roman" w:hAnsi="Times New Roman" w:cs="Times New Roman"/>
          <w:bCs/>
          <w:spacing w:val="-2"/>
          <w:sz w:val="28"/>
          <w:szCs w:val="28"/>
        </w:rPr>
        <w:t xml:space="preserve">. </w:t>
      </w:r>
    </w:p>
    <w:p>
      <w:pPr>
        <w:spacing w:before="60"/>
        <w:ind w:firstLine="706"/>
        <w:rPr>
          <w:rFonts w:ascii="Times New Roman" w:hAnsi="Times New Roman" w:cs="Times New Roman"/>
          <w:b/>
          <w:bCs/>
          <w:sz w:val="28"/>
          <w:szCs w:val="28"/>
        </w:rPr>
      </w:pPr>
      <w:bookmarkStart w:id="0" w:name="_Hlk209376160"/>
      <w:r>
        <w:rPr>
          <w:rFonts w:ascii="Times New Roman" w:hAnsi="Times New Roman" w:cs="Times New Roman"/>
          <w:b/>
          <w:bCs/>
          <w:sz w:val="28"/>
          <w:szCs w:val="28"/>
        </w:rPr>
        <w:t>2. Cơ sở pháp lý</w:t>
      </w:r>
    </w:p>
    <w:bookmarkEnd w:id="0"/>
    <w:p>
      <w:pPr>
        <w:spacing w:before="60"/>
        <w:ind w:firstLine="706"/>
        <w:rPr>
          <w:rFonts w:ascii="Times New Roman" w:hAnsi="Times New Roman" w:cs="Times New Roman"/>
          <w:i/>
          <w:sz w:val="28"/>
          <w:szCs w:val="28"/>
        </w:rPr>
      </w:pPr>
      <w:r>
        <w:rPr>
          <w:rFonts w:ascii="Times New Roman" w:hAnsi="Times New Roman" w:cs="Times New Roman"/>
          <w:sz w:val="28"/>
          <w:szCs w:val="28"/>
        </w:rPr>
        <w:t xml:space="preserve">- Điểm a khoản 1 Điều 21 Luật Ban hành văn bản QPPL số 64/2025/QH15 (đã được sửa đổi, bổ sung tại Khoản 3 Điều 1 Luật sửa đổi, bổ sung một số điều của Luật Ban hành văn bản QPPL) quy định Hội đồng nhân dân tỉnh ban hành nghị quyết để quy định: </w:t>
      </w:r>
      <w:r>
        <w:rPr>
          <w:rFonts w:ascii="Times New Roman" w:hAnsi="Times New Roman" w:cs="Times New Roman"/>
          <w:i/>
          <w:sz w:val="28"/>
          <w:szCs w:val="28"/>
        </w:rPr>
        <w:t>"Chi tiết điều, khoản, điểm và các nội dung khác được giao trong văn bản quy phạm pháp luật của cơ quan nhà nước cấp trên".</w:t>
      </w:r>
    </w:p>
    <w:p>
      <w:pPr>
        <w:spacing w:before="60"/>
        <w:ind w:firstLine="706"/>
        <w:rPr>
          <w:rFonts w:ascii="Times New Roman" w:hAnsi="Times New Roman" w:cs="Times New Roman"/>
          <w:i/>
          <w:sz w:val="28"/>
          <w:szCs w:val="28"/>
        </w:rPr>
      </w:pPr>
      <w:r>
        <w:rPr>
          <w:rFonts w:ascii="Times New Roman" w:hAnsi="Times New Roman" w:cs="Times New Roman"/>
          <w:sz w:val="28"/>
          <w:szCs w:val="28"/>
        </w:rPr>
        <w:t xml:space="preserve">- Điểm a khoản 1 Điều 15 Luật Tổ chức chính quyền địa phương số 72/2025/QH15 quy định thẩm quyền của Hội đồng nhân dân tỉnh: </w:t>
      </w:r>
      <w:r>
        <w:rPr>
          <w:rFonts w:ascii="Times New Roman" w:hAnsi="Times New Roman" w:cs="Times New Roman"/>
          <w:i/>
          <w:sz w:val="28"/>
          <w:szCs w:val="28"/>
        </w:rPr>
        <w:t>"Quyết định biện pháp bảo đảm thi hành Hiến pháp, pháp luật, các văn bản của cơ quan nhà nước cấp trên ở địa phương”.</w:t>
      </w:r>
    </w:p>
    <w:p>
      <w:pPr>
        <w:spacing w:before="60"/>
        <w:ind w:firstLine="706"/>
        <w:rPr>
          <w:rFonts w:ascii="Times New Roman" w:hAnsi="Times New Roman" w:cs="Times New Roman"/>
          <w:sz w:val="28"/>
          <w:szCs w:val="28"/>
        </w:rPr>
      </w:pPr>
      <w:r>
        <w:rPr>
          <w:rFonts w:ascii="Times New Roman" w:hAnsi="Times New Roman" w:cs="Times New Roman"/>
          <w:sz w:val="28"/>
          <w:szCs w:val="28"/>
        </w:rPr>
        <w:t xml:space="preserve">- Điểm h, khoản 9 Điều 31 Luật Ngân sách </w:t>
      </w:r>
      <w:r>
        <w:rPr>
          <w:rFonts w:ascii="Times New Roman" w:hAnsi="Times New Roman" w:cs="Times New Roman"/>
          <w:sz w:val="28"/>
          <w:szCs w:val="28"/>
          <w:lang w:val="en-US"/>
        </w:rPr>
        <w:t xml:space="preserve">Nhà nước </w:t>
      </w:r>
      <w:r>
        <w:rPr>
          <w:rFonts w:ascii="Times New Roman" w:hAnsi="Times New Roman" w:cs="Times New Roman"/>
          <w:sz w:val="28"/>
          <w:szCs w:val="28"/>
        </w:rPr>
        <w:t xml:space="preserve">số 89/2025/QH15 quy định nhiệm vụ, quyền hạn của Hội đồng nhân dân các cấp: </w:t>
      </w:r>
      <w:r>
        <w:rPr>
          <w:rFonts w:ascii="Times New Roman" w:hAnsi="Times New Roman" w:cs="Times New Roman"/>
          <w:i/>
          <w:sz w:val="28"/>
          <w:szCs w:val="28"/>
        </w:rPr>
        <w:t>"Quyết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pPr>
        <w:spacing w:before="60"/>
        <w:ind w:firstLine="706"/>
        <w:rPr>
          <w:rFonts w:ascii="Times New Roman" w:hAnsi="Times New Roman" w:cs="Times New Roman"/>
          <w:sz w:val="28"/>
          <w:szCs w:val="28"/>
        </w:rPr>
      </w:pPr>
      <w:r>
        <w:rPr>
          <w:rFonts w:ascii="Times New Roman" w:hAnsi="Times New Roman" w:cs="Times New Roman"/>
          <w:sz w:val="28"/>
          <w:szCs w:val="28"/>
        </w:rPr>
        <w:t xml:space="preserve">- Khoản 1 Điều 43 Nghị định số 78/2025/NĐ-CP ngày 01/4/2025 của Chính phủ hướng dẫn Luật Ban hành văn bản quy phạm pháp luật, được sửa đổi tại khoản 24 Điều 1 Nghị định số 187/2025/NĐ-CP ngày 01/7/2025, quy định: “Ủy ban nhân dân, </w:t>
      </w:r>
      <w:r>
        <w:rPr>
          <w:rFonts w:ascii="Times New Roman" w:hAnsi="Times New Roman" w:cs="Times New Roman"/>
          <w:i/>
          <w:sz w:val="28"/>
          <w:szCs w:val="28"/>
        </w:rPr>
        <w:t xml:space="preserve">các Ban của Hội đồng nhân dân cấp tỉnh căn cứ văn bản quy phạm pháp luật của cơ quan nhà nước cấp trên, thực tế ở địa phương, tự mình hoặc theo đề nghị </w:t>
      </w:r>
      <w:r>
        <w:rPr>
          <w:rFonts w:ascii="Times New Roman" w:hAnsi="Times New Roman" w:cs="Times New Roman"/>
          <w:i/>
          <w:sz w:val="28"/>
          <w:szCs w:val="28"/>
        </w:rPr>
        <w:lastRenderedPageBreak/>
        <w:t>của cơ quan, tổ chức, đại biểu Hội đồng nhân dân, đăng ký xây dựng nghị quyết của Hội đồng nhân dân quy định tại các điểm b, c và d khoản 1 Điều 21 của Luật, gửi đến Thường trực Hội đồng nhân dân</w:t>
      </w:r>
      <w:r>
        <w:rPr>
          <w:rFonts w:ascii="Times New Roman" w:hAnsi="Times New Roman" w:cs="Times New Roman"/>
          <w:sz w:val="28"/>
          <w:szCs w:val="28"/>
        </w:rPr>
        <w:t xml:space="preserve">”. Điều 47 Nghị định số 78/2025/NĐ-CP, quy định </w:t>
      </w:r>
      <w:r>
        <w:rPr>
          <w:rFonts w:ascii="Times New Roman" w:hAnsi="Times New Roman" w:cs="Times New Roman"/>
          <w:i/>
          <w:sz w:val="28"/>
          <w:szCs w:val="28"/>
        </w:rPr>
        <w:t>"cơ quan trình dự thảo nghị quyết phải gửi hồ sơ dự thảo nghị quyết đến Ban của Hội đồng nhân dân được phân công thẩm tra để thẩm tra"</w:t>
      </w:r>
      <w:r>
        <w:rPr>
          <w:rFonts w:ascii="Times New Roman" w:hAnsi="Times New Roman" w:cs="Times New Roman"/>
          <w:sz w:val="28"/>
          <w:szCs w:val="28"/>
        </w:rPr>
        <w:t>.</w:t>
      </w:r>
    </w:p>
    <w:p>
      <w:pPr>
        <w:spacing w:before="60"/>
        <w:ind w:firstLine="706"/>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Ngày </w:t>
      </w:r>
      <w:r>
        <w:rPr>
          <w:rFonts w:ascii="Times New Roman" w:hAnsi="Times New Roman" w:cs="Times New Roman"/>
          <w:sz w:val="28"/>
          <w:szCs w:val="28"/>
          <w:lang w:val="en-US"/>
        </w:rPr>
        <w:t>28/10/2025</w:t>
      </w:r>
      <w:r>
        <w:rPr>
          <w:rFonts w:ascii="Times New Roman" w:hAnsi="Times New Roman" w:cs="Times New Roman"/>
          <w:sz w:val="28"/>
          <w:szCs w:val="28"/>
        </w:rPr>
        <w:t xml:space="preserve">, Bộ trưởng Bộ Tài chính ban hành Thông tư </w:t>
      </w:r>
      <w:r>
        <w:rPr>
          <w:rFonts w:ascii="Times New Roman" w:hAnsi="Times New Roman" w:cs="Times New Roman"/>
          <w:sz w:val="28"/>
          <w:szCs w:val="28"/>
          <w:lang w:val="en-US"/>
        </w:rPr>
        <w:t>100/2025</w:t>
      </w:r>
      <w:r>
        <w:rPr>
          <w:rFonts w:ascii="Times New Roman" w:hAnsi="Times New Roman" w:cs="Times New Roman"/>
          <w:sz w:val="28"/>
          <w:szCs w:val="28"/>
        </w:rPr>
        <w:t xml:space="preserve">/TT-BTC </w:t>
      </w:r>
      <w:r>
        <w:rPr>
          <w:rFonts w:ascii="Times New Roman" w:hAnsi="Times New Roman" w:cs="Times New Roman"/>
          <w:sz w:val="28"/>
          <w:szCs w:val="28"/>
          <w:lang w:val="en-US"/>
        </w:rPr>
        <w:t>hướng dẫn việc lập dự toán, quản lý, sử dụng và quyết toán kinh phí dành cho công tác đào tạo, bồi dưỡng công chức, viên chức</w:t>
      </w:r>
      <w:r>
        <w:rPr>
          <w:rFonts w:ascii="Times New Roman" w:hAnsi="Times New Roman" w:cs="Times New Roman"/>
          <w:sz w:val="28"/>
          <w:szCs w:val="28"/>
        </w:rPr>
        <w:t xml:space="preserve">; theo đó, tại khoản </w:t>
      </w:r>
      <w:r>
        <w:rPr>
          <w:rFonts w:ascii="Times New Roman" w:hAnsi="Times New Roman" w:cs="Times New Roman"/>
          <w:sz w:val="28"/>
          <w:szCs w:val="28"/>
          <w:lang w:val="en-US"/>
        </w:rPr>
        <w:t>3</w:t>
      </w:r>
      <w:r>
        <w:rPr>
          <w:rFonts w:ascii="Times New Roman" w:hAnsi="Times New Roman" w:cs="Times New Roman"/>
          <w:sz w:val="28"/>
          <w:szCs w:val="28"/>
        </w:rPr>
        <w:t xml:space="preserve"> Điều </w:t>
      </w:r>
      <w:r>
        <w:rPr>
          <w:rFonts w:ascii="Times New Roman" w:hAnsi="Times New Roman" w:cs="Times New Roman"/>
          <w:sz w:val="28"/>
          <w:szCs w:val="28"/>
          <w:lang w:val="en-US"/>
        </w:rPr>
        <w:t>8</w:t>
      </w:r>
      <w:r>
        <w:rPr>
          <w:rFonts w:ascii="Times New Roman" w:hAnsi="Times New Roman" w:cs="Times New Roman"/>
          <w:sz w:val="28"/>
          <w:szCs w:val="28"/>
        </w:rPr>
        <w:t xml:space="preserve"> quy định: </w:t>
      </w:r>
      <w:r>
        <w:rPr>
          <w:rFonts w:ascii="Times New Roman" w:hAnsi="Times New Roman" w:cs="Times New Roman"/>
          <w:sz w:val="28"/>
          <w:szCs w:val="28"/>
          <w:lang w:val="en-US"/>
        </w:rPr>
        <w:t>“</w:t>
      </w:r>
      <w:r>
        <w:rPr>
          <w:rFonts w:ascii="Times New Roman" w:hAnsi="Times New Roman" w:cs="Times New Roman"/>
          <w:i/>
          <w:sz w:val="28"/>
          <w:szCs w:val="28"/>
          <w:lang w:val="en-US"/>
        </w:rPr>
        <w:t>Căn cứ tình hình thực tế tại địa phương và khả năng cân đối ngân sách địa phương, Ủy ban nhân dân tỉnh, thành phố chủ động trình Hội đồng nhân dân cùng cấp quyết định mức chi cụ thể cho phù hợp để thực hiện ở địa phương</w:t>
      </w:r>
      <w:r>
        <w:rPr>
          <w:rFonts w:ascii="Times New Roman" w:hAnsi="Times New Roman" w:cs="Times New Roman"/>
          <w:sz w:val="28"/>
          <w:szCs w:val="28"/>
          <w:lang w:val="en-US"/>
        </w:rPr>
        <w:t>”.</w:t>
      </w:r>
    </w:p>
    <w:p>
      <w:pPr>
        <w:spacing w:before="60"/>
        <w:ind w:firstLine="706"/>
        <w:rPr>
          <w:rFonts w:ascii="Times New Roman" w:hAnsi="Times New Roman" w:cs="Times New Roman"/>
          <w:b/>
          <w:bCs/>
          <w:sz w:val="28"/>
          <w:szCs w:val="28"/>
        </w:rPr>
      </w:pPr>
      <w:r>
        <w:rPr>
          <w:rFonts w:ascii="Times New Roman" w:hAnsi="Times New Roman" w:cs="Times New Roman"/>
          <w:b/>
          <w:bCs/>
          <w:sz w:val="28"/>
          <w:szCs w:val="28"/>
        </w:rPr>
        <w:t>3. Cơ sở thực tiễn</w:t>
      </w:r>
    </w:p>
    <w:p>
      <w:pPr>
        <w:spacing w:before="60"/>
        <w:rPr>
          <w:rFonts w:ascii="Times New Roman" w:eastAsia="Times New Roman" w:hAnsi="Times New Roman" w:cs="Times New Roman"/>
          <w:color w:val="1F1F1F"/>
          <w:sz w:val="28"/>
          <w:szCs w:val="28"/>
          <w:lang w:val="en-US"/>
        </w:rPr>
      </w:pPr>
      <w:r>
        <w:rPr>
          <w:rFonts w:ascii="Times New Roman" w:eastAsia="Times New Roman" w:hAnsi="Times New Roman" w:cs="Times New Roman"/>
          <w:color w:val="1F1F1F"/>
          <w:sz w:val="28"/>
          <w:szCs w:val="28"/>
          <w:lang w:val="en-US"/>
        </w:rPr>
        <w:t>Trong thời gian qua, khi thực hiện chính quyền địa phương 02 cấp, cùng với yêu cầu cải cách hành chính, chuyển đổi số và phát triển kinh tế - xã hội của tỉnh Thanh Hóa, đội ngũ công chức, viên chức cần được thường xuyên đào tạo, bồi dưỡng nhằm chuẩn hóa theo vị trí việc làm, nâng cao trình độ chuyên môn, kỹ năng quản lý, kỹ năng thực thi công vụ. Thực tiễn cho thấy nhu cầu đào tạo, bồi dưỡng ngày càng đa dạng về nội dung, hình thức (trực tiếp, trực tuyến, kết hợp), đối tượng và quy mô tổ chức.</w:t>
      </w:r>
    </w:p>
    <w:p>
      <w:pPr>
        <w:spacing w:before="60"/>
        <w:rPr>
          <w:rFonts w:ascii="Times New Roman" w:hAnsi="Times New Roman" w:cs="Times New Roman"/>
          <w:sz w:val="28"/>
          <w:szCs w:val="28"/>
        </w:rPr>
      </w:pPr>
      <w:r>
        <w:rPr>
          <w:rFonts w:ascii="Times New Roman" w:eastAsia="Times New Roman" w:hAnsi="Times New Roman" w:cs="Times New Roman"/>
          <w:color w:val="1F1F1F"/>
          <w:sz w:val="28"/>
          <w:szCs w:val="28"/>
          <w:lang w:val="en-US"/>
        </w:rPr>
        <w:t>Hiện nay, tỉnh Thanh Hóa chưa ban hành Nghị quyết quy định đầy đủ, đồng bộ về nội dung chi và mức chi cho công tác đào tạo, bồi dưỡng công chức, viên chức theo quy định mới của Trung ương</w:t>
      </w:r>
      <w:r>
        <w:rPr>
          <w:rFonts w:ascii="Times New Roman" w:eastAsia="Times New Roman" w:hAnsi="Times New Roman" w:cs="Times New Roman"/>
          <w:color w:val="1F1F1F"/>
          <w:sz w:val="28"/>
          <w:szCs w:val="28"/>
        </w:rPr>
        <w:t xml:space="preserve">. Vì vậy, việc ban hành Nghị quyết để kịp thời cụ thể hóa các quy định mới của </w:t>
      </w:r>
      <w:r>
        <w:rPr>
          <w:rFonts w:ascii="Times New Roman" w:eastAsia="Times New Roman" w:hAnsi="Times New Roman" w:cs="Times New Roman"/>
          <w:color w:val="1F1F1F"/>
          <w:sz w:val="28"/>
          <w:szCs w:val="28"/>
          <w:lang w:val="en-US"/>
        </w:rPr>
        <w:t xml:space="preserve">Bộ trưởng </w:t>
      </w:r>
      <w:r>
        <w:rPr>
          <w:rFonts w:ascii="Times New Roman" w:eastAsia="Times New Roman" w:hAnsi="Times New Roman" w:cs="Times New Roman"/>
          <w:color w:val="1F1F1F"/>
          <w:sz w:val="28"/>
          <w:szCs w:val="28"/>
        </w:rPr>
        <w:t xml:space="preserve">Bộ Tài chính tại </w:t>
      </w:r>
      <w:r>
        <w:rPr>
          <w:rFonts w:ascii="Times New Roman" w:hAnsi="Times New Roman" w:cs="Times New Roman"/>
          <w:sz w:val="28"/>
          <w:szCs w:val="28"/>
        </w:rPr>
        <w:t xml:space="preserve">Thông tư </w:t>
      </w:r>
      <w:r>
        <w:rPr>
          <w:rFonts w:ascii="Times New Roman" w:hAnsi="Times New Roman" w:cs="Times New Roman"/>
          <w:sz w:val="28"/>
          <w:szCs w:val="28"/>
          <w:lang w:val="en-US"/>
        </w:rPr>
        <w:t>100</w:t>
      </w:r>
      <w:r>
        <w:rPr>
          <w:rFonts w:ascii="Times New Roman" w:hAnsi="Times New Roman" w:cs="Times New Roman"/>
          <w:sz w:val="28"/>
          <w:szCs w:val="28"/>
        </w:rPr>
        <w:t>/202</w:t>
      </w:r>
      <w:r>
        <w:rPr>
          <w:rFonts w:ascii="Times New Roman" w:hAnsi="Times New Roman" w:cs="Times New Roman"/>
          <w:sz w:val="28"/>
          <w:szCs w:val="28"/>
          <w:lang w:val="en-US"/>
        </w:rPr>
        <w:t>5</w:t>
      </w:r>
      <w:r>
        <w:rPr>
          <w:rFonts w:ascii="Times New Roman" w:hAnsi="Times New Roman" w:cs="Times New Roman"/>
          <w:sz w:val="28"/>
          <w:szCs w:val="28"/>
        </w:rPr>
        <w:t xml:space="preserve">/TT-BTC ngày </w:t>
      </w:r>
      <w:r>
        <w:rPr>
          <w:rFonts w:ascii="Times New Roman" w:hAnsi="Times New Roman" w:cs="Times New Roman"/>
          <w:sz w:val="28"/>
          <w:szCs w:val="28"/>
          <w:lang w:val="en-US"/>
        </w:rPr>
        <w:t>28/10/2025</w:t>
      </w:r>
      <w:r>
        <w:rPr>
          <w:rFonts w:ascii="Times New Roman" w:hAnsi="Times New Roman" w:cs="Times New Roman"/>
          <w:sz w:val="28"/>
          <w:szCs w:val="28"/>
        </w:rPr>
        <w:t xml:space="preserve">, tạo cơ sở pháp lý thống nhất cho việc </w:t>
      </w:r>
      <w:r>
        <w:rPr>
          <w:rFonts w:ascii="Times New Roman" w:eastAsia="Times New Roman" w:hAnsi="Times New Roman" w:cs="Times New Roman"/>
          <w:color w:val="1F1F1F"/>
          <w:sz w:val="28"/>
          <w:szCs w:val="28"/>
          <w:lang w:val="en-US"/>
        </w:rPr>
        <w:t>đào tạo, bồi dưỡng công chức, viên chức thuộc phạm vi quản lý của tỉnh</w:t>
      </w:r>
      <w:r>
        <w:rPr>
          <w:rFonts w:ascii="Times New Roman" w:eastAsia="Times New Roman" w:hAnsi="Times New Roman" w:cs="Times New Roman"/>
          <w:color w:val="1F1F1F"/>
          <w:sz w:val="28"/>
          <w:szCs w:val="28"/>
        </w:rPr>
        <w:t>; đồng thời tạo điều kiện thuận lợi cho các cơ quan, đơn vị trong việc thực hiện nhiệm vụ chính trị, đảm bảo tính công khai, minh bạch giúp tăng cường kỷ luật, kỷ cương tài chính và quản lý, sử dụng ngân sách nhà nước được thực hiện chặt chẽ, tiết kiệm, tạo điều kiện thuận lợi cho công tác lập dự toán, kiểm soát chi và thanh quyết toán theo đúng quy định của pháp luật.</w:t>
      </w:r>
    </w:p>
    <w:p>
      <w:pPr>
        <w:spacing w:before="60"/>
        <w:ind w:firstLine="706"/>
        <w:rPr>
          <w:rFonts w:ascii="Times New Roman" w:hAnsi="Times New Roman" w:cs="Times New Roman"/>
          <w:spacing w:val="2"/>
          <w:sz w:val="28"/>
          <w:szCs w:val="28"/>
          <w:lang w:val="en-US"/>
        </w:rPr>
      </w:pPr>
      <w:r>
        <w:rPr>
          <w:rFonts w:ascii="Times New Roman" w:hAnsi="Times New Roman" w:cs="Times New Roman"/>
          <w:sz w:val="28"/>
          <w:szCs w:val="28"/>
        </w:rPr>
        <w:t xml:space="preserve">Từ cơ sở chính trị, pháp lý và thực tiễn nêu trên, việc Hội đồng nhân dân tỉnh ban hành Nghị quyết Quy định một số nội dung và mức chi cho công tác đào tạo, bồi dưỡng công chức, viên chức thuộc phạm vi quản lý của tỉnh Thanh Hóa là cần thiết và </w:t>
      </w:r>
      <w:r>
        <w:rPr>
          <w:rFonts w:ascii="Times New Roman" w:hAnsi="Times New Roman" w:cs="Times New Roman"/>
          <w:spacing w:val="2"/>
          <w:sz w:val="28"/>
          <w:szCs w:val="28"/>
        </w:rPr>
        <w:t>đúng thẩm quyền</w:t>
      </w:r>
      <w:r>
        <w:rPr>
          <w:rFonts w:ascii="Times New Roman" w:hAnsi="Times New Roman" w:cs="Times New Roman"/>
          <w:spacing w:val="2"/>
          <w:sz w:val="28"/>
          <w:szCs w:val="28"/>
          <w:lang w:val="en-US"/>
        </w:rPr>
        <w:t>.</w:t>
      </w:r>
    </w:p>
    <w:p>
      <w:pPr>
        <w:pStyle w:val="BodyText"/>
        <w:spacing w:before="60"/>
        <w:ind w:firstLine="720"/>
        <w:rPr>
          <w:rFonts w:ascii="Times New Roman" w:hAnsi="Times New Roman"/>
          <w:b/>
          <w:bCs/>
          <w:szCs w:val="28"/>
        </w:rPr>
      </w:pPr>
      <w:r>
        <w:rPr>
          <w:rFonts w:ascii="Times New Roman" w:hAnsi="Times New Roman"/>
          <w:b/>
          <w:szCs w:val="28"/>
        </w:rPr>
        <w:t>II. MỤC ĐÍCH BAN HÀNH, QUAN ĐIỂM XÂY DỰNG NGHỊ QUYẾT</w:t>
      </w:r>
    </w:p>
    <w:p>
      <w:pPr>
        <w:pStyle w:val="BodyText"/>
        <w:spacing w:before="60"/>
        <w:ind w:firstLine="720"/>
        <w:rPr>
          <w:rFonts w:ascii="Times New Roman" w:hAnsi="Times New Roman"/>
          <w:b/>
          <w:bCs/>
          <w:szCs w:val="28"/>
        </w:rPr>
      </w:pPr>
      <w:r>
        <w:rPr>
          <w:rFonts w:ascii="Times New Roman" w:hAnsi="Times New Roman"/>
          <w:b/>
          <w:szCs w:val="28"/>
        </w:rPr>
        <w:t>1. Mục đích ban hành</w:t>
      </w:r>
    </w:p>
    <w:p>
      <w:pPr>
        <w:spacing w:before="60"/>
        <w:ind w:firstLine="706"/>
        <w:rPr>
          <w:rFonts w:ascii="Times New Roman" w:hAnsi="Times New Roman" w:cs="Times New Roman"/>
          <w:sz w:val="28"/>
          <w:szCs w:val="28"/>
        </w:rPr>
      </w:pPr>
      <w:r>
        <w:rPr>
          <w:rFonts w:ascii="Times New Roman" w:hAnsi="Times New Roman" w:cs="Times New Roman"/>
          <w:sz w:val="28"/>
          <w:szCs w:val="28"/>
        </w:rPr>
        <w:t xml:space="preserve">Việc ban hành Nghị quyết của Hội đồng nhân dân tỉnh </w:t>
      </w:r>
      <w:r>
        <w:rPr>
          <w:rFonts w:ascii="Times New Roman" w:hAnsi="Times New Roman" w:cs="Times New Roman"/>
          <w:sz w:val="28"/>
          <w:szCs w:val="28"/>
        </w:rPr>
        <w:t xml:space="preserve">Quy định một số nội dung và mức chi cho công tác đào tạo, bồi dưỡng công chức, viên chức thuộc phạm vi quản lý của tỉnh Thanh Hóa </w:t>
      </w:r>
      <w:r>
        <w:rPr>
          <w:rFonts w:ascii="Times New Roman" w:hAnsi="Times New Roman" w:cs="Times New Roman"/>
          <w:sz w:val="28"/>
          <w:szCs w:val="28"/>
        </w:rPr>
        <w:t xml:space="preserve">nhằm thiết lập khung pháp lý đầy đủ, đồng bộ, đảm bảo thống nhất, phù hợp với quy định có liên quan theo chủ trương, chính sách của Đảng, pháp luật của Nhà nước và chỉ đạo của cấp có thẩm quyền; đồng thời là căn cứ để các cơ quan, đơn vị, địa phương thực hiện việc lập dự toán, quản lý, sử dụng </w:t>
      </w:r>
      <w:r>
        <w:rPr>
          <w:rFonts w:ascii="Times New Roman" w:hAnsi="Times New Roman" w:cs="Times New Roman"/>
          <w:sz w:val="28"/>
          <w:szCs w:val="28"/>
        </w:rPr>
        <w:lastRenderedPageBreak/>
        <w:t xml:space="preserve">và quyết toán kinh phí </w:t>
      </w:r>
      <w:r>
        <w:rPr>
          <w:rFonts w:ascii="Times New Roman" w:hAnsi="Times New Roman" w:cs="Times New Roman"/>
          <w:sz w:val="28"/>
          <w:szCs w:val="28"/>
        </w:rPr>
        <w:t>chi cho công tác đào tạo, bồi dưỡng công chức, viên chức thuộc phạm vi quản lý của tỉnh Thanh Hóa</w:t>
      </w:r>
      <w:r>
        <w:rPr>
          <w:rFonts w:ascii="Times New Roman" w:hAnsi="Times New Roman" w:cs="Times New Roman"/>
          <w:sz w:val="28"/>
          <w:szCs w:val="28"/>
        </w:rPr>
        <w:t xml:space="preserve">. </w:t>
      </w:r>
    </w:p>
    <w:p>
      <w:pPr>
        <w:spacing w:before="60"/>
        <w:rPr>
          <w:rFonts w:ascii="Times New Roman" w:hAnsi="Times New Roman" w:cs="Times New Roman"/>
          <w:b/>
          <w:sz w:val="28"/>
          <w:szCs w:val="28"/>
        </w:rPr>
      </w:pPr>
      <w:r>
        <w:rPr>
          <w:rFonts w:ascii="Times New Roman" w:hAnsi="Times New Roman" w:cs="Times New Roman"/>
          <w:b/>
          <w:sz w:val="28"/>
          <w:szCs w:val="28"/>
        </w:rPr>
        <w:t>2. Quan điểm xây dựng</w:t>
      </w:r>
    </w:p>
    <w:p>
      <w:pPr>
        <w:spacing w:before="60"/>
        <w:ind w:firstLine="706"/>
        <w:rPr>
          <w:rFonts w:ascii="Times New Roman" w:hAnsi="Times New Roman" w:cs="Times New Roman"/>
          <w:sz w:val="28"/>
          <w:szCs w:val="28"/>
          <w:lang w:val="en-US"/>
        </w:rPr>
      </w:pPr>
      <w:r>
        <w:rPr>
          <w:rFonts w:ascii="Times New Roman" w:hAnsi="Times New Roman" w:cs="Times New Roman"/>
          <w:sz w:val="28"/>
          <w:szCs w:val="28"/>
        </w:rPr>
        <w:t>Việc xây dựng và ban hành Nghị quyết phải đảm bảo tính hợp hiến, hợp pháp, tuân thủ đúng thẩm quyền, hình thức, trình tự thủ tục xây dựng, ban hành văn bản quy phạm pháp luật, đảm bảo các nguyên tắc, trình tự, thủ tục xây dựng văn bản quy phạm pháp luật; đồng thời đúng với quy định tại Thông tư số 100/2025/TT-BTC ngày 28/10/2025 của Bộ trưởng Bộ Tài chính và tình hình thực tiễn, khả năng cân đối ngân sách địa phương</w:t>
      </w:r>
      <w:r>
        <w:rPr>
          <w:rFonts w:ascii="Times New Roman" w:hAnsi="Times New Roman" w:cs="Times New Roman"/>
          <w:sz w:val="28"/>
          <w:szCs w:val="28"/>
          <w:lang w:val="en-US"/>
        </w:rPr>
        <w:t>.</w:t>
      </w:r>
    </w:p>
    <w:p>
      <w:pPr>
        <w:spacing w:before="60"/>
        <w:ind w:firstLine="706"/>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w:t>
      </w:r>
      <w:r>
        <w:rPr>
          <w:rFonts w:ascii="Times New Roman" w:eastAsia="Times New Roman" w:hAnsi="Times New Roman" w:cs="Times New Roman"/>
          <w:b/>
          <w:bCs/>
          <w:sz w:val="26"/>
          <w:szCs w:val="26"/>
          <w:lang w:val="en-US"/>
        </w:rPr>
        <w:t>II</w:t>
      </w:r>
      <w:r>
        <w:rPr>
          <w:rFonts w:ascii="Times New Roman" w:eastAsia="Times New Roman" w:hAnsi="Times New Roman" w:cs="Times New Roman"/>
          <w:b/>
          <w:bCs/>
          <w:sz w:val="26"/>
          <w:szCs w:val="26"/>
        </w:rPr>
        <w:t xml:space="preserve">. </w:t>
      </w:r>
      <w:r>
        <w:rPr>
          <w:rFonts w:ascii="Times New Roman" w:hAnsi="Times New Roman" w:cs="Times New Roman"/>
          <w:b/>
          <w:spacing w:val="2"/>
          <w:sz w:val="28"/>
          <w:szCs w:val="28"/>
        </w:rPr>
        <w:t>QUÁ TRÌNH XÂY DỰNG DỰ THẢO NGHỊ QUYẾT</w:t>
      </w:r>
    </w:p>
    <w:p>
      <w:pPr>
        <w:spacing w:before="60"/>
        <w:ind w:firstLine="706"/>
        <w:rPr>
          <w:rFonts w:ascii="Times New Roman" w:hAnsi="Times New Roman" w:cs="Times New Roman"/>
          <w:b/>
          <w:sz w:val="28"/>
          <w:szCs w:val="28"/>
        </w:rPr>
      </w:pPr>
      <w:bookmarkStart w:id="1" w:name="_Hlk209960928"/>
      <w:r>
        <w:rPr>
          <w:rFonts w:ascii="Times New Roman" w:hAnsi="Times New Roman" w:cs="Times New Roman"/>
          <w:b/>
          <w:sz w:val="28"/>
          <w:szCs w:val="28"/>
        </w:rPr>
        <w:t>1. Các bước đã thực hiện</w:t>
      </w:r>
    </w:p>
    <w:p>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Ngày </w:t>
      </w:r>
      <w:r>
        <w:rPr>
          <w:rFonts w:ascii="Times New Roman" w:hAnsi="Times New Roman" w:cs="Times New Roman"/>
          <w:sz w:val="28"/>
          <w:szCs w:val="28"/>
          <w:lang w:val="en-US"/>
        </w:rPr>
        <w:t>11/3</w:t>
      </w:r>
      <w:r>
        <w:rPr>
          <w:rFonts w:ascii="Times New Roman" w:hAnsi="Times New Roman" w:cs="Times New Roman"/>
          <w:sz w:val="28"/>
          <w:szCs w:val="28"/>
        </w:rPr>
        <w:t xml:space="preserve">/2026, Sở Tài chính có Văn bản số </w:t>
      </w:r>
      <w:r>
        <w:rPr>
          <w:rFonts w:ascii="Times New Roman" w:hAnsi="Times New Roman" w:cs="Times New Roman"/>
          <w:sz w:val="28"/>
          <w:szCs w:val="28"/>
          <w:lang w:val="en-US"/>
        </w:rPr>
        <w:t>2363</w:t>
      </w:r>
      <w:r>
        <w:rPr>
          <w:rFonts w:ascii="Times New Roman" w:hAnsi="Times New Roman" w:cs="Times New Roman"/>
          <w:sz w:val="28"/>
          <w:szCs w:val="28"/>
        </w:rPr>
        <w:t xml:space="preserve">/STC-HCSN gửi Sở Tư pháp về đề xuất danh mục văn bản của chính quyền địa phương được giao quy định chi tiết trong văn bản quy phạm pháp luật của cơ quan nhà nước cấp trên. </w:t>
      </w:r>
    </w:p>
    <w:p>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Ngày </w:t>
      </w:r>
      <w:r>
        <w:rPr>
          <w:rFonts w:ascii="Times New Roman" w:hAnsi="Times New Roman" w:cs="Times New Roman"/>
          <w:sz w:val="28"/>
          <w:szCs w:val="28"/>
          <w:lang w:val="en-US"/>
        </w:rPr>
        <w:t>…</w:t>
      </w:r>
      <w:r>
        <w:rPr>
          <w:rFonts w:ascii="Times New Roman" w:hAnsi="Times New Roman" w:cs="Times New Roman"/>
          <w:sz w:val="28"/>
          <w:szCs w:val="28"/>
        </w:rPr>
        <w:t xml:space="preserve">, Sở Tài chính có Văn bản số </w:t>
      </w:r>
      <w:r>
        <w:rPr>
          <w:rFonts w:ascii="Times New Roman" w:hAnsi="Times New Roman" w:cs="Times New Roman"/>
          <w:sz w:val="28"/>
          <w:szCs w:val="28"/>
          <w:lang w:val="en-US"/>
        </w:rPr>
        <w:t>…</w:t>
      </w:r>
      <w:r>
        <w:rPr>
          <w:rFonts w:ascii="Times New Roman" w:hAnsi="Times New Roman" w:cs="Times New Roman"/>
          <w:sz w:val="28"/>
          <w:szCs w:val="28"/>
        </w:rPr>
        <w:t xml:space="preserve">/STC-HCSN gửi các đơn vị, địa phương có ý kiến tham gia vào dự thảo Tờ trình của UBND tỉnh và Nghị quyết của HĐND tỉnh về quy định </w:t>
      </w:r>
      <w:r>
        <w:rPr>
          <w:rFonts w:ascii="Times New Roman" w:hAnsi="Times New Roman" w:cs="Times New Roman"/>
          <w:sz w:val="28"/>
          <w:szCs w:val="28"/>
        </w:rPr>
        <w:t>nội dung và mức chi cho công tác đào tạo, bồi dưỡng công chức, viên chức thuộc phạm vi quản lý của tỉnh Thanh Hóa</w:t>
      </w:r>
      <w:r>
        <w:rPr>
          <w:rFonts w:ascii="Times New Roman" w:hAnsi="Times New Roman" w:cs="Times New Roman"/>
          <w:sz w:val="28"/>
          <w:szCs w:val="28"/>
        </w:rPr>
        <w:t>.</w:t>
      </w:r>
    </w:p>
    <w:p>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Trên cơ sở ý kiến của đơn vị, địa phương, Sở Tài chính đã tiếp thu, chỉnh sửa gửi Sở Tư pháp thẩm định văn bản quy phạm pháp luật tại Văn bản số…../STC-HCSN ngày…./5/2026.</w:t>
      </w:r>
    </w:p>
    <w:p>
      <w:pPr>
        <w:spacing w:before="60"/>
        <w:ind w:firstLine="706"/>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Sau khi có ý kiến thẩm định của Sở Tư pháp, Sở Tài chính hoàn chỉnh dự thảo Tờ trình của UBND tỉnh và Nghị quyết của HĐND tỉnh về ban hành Quy định một số nội dung và mức chi cho công tác đào tạo, bồi dưỡng công chức, viên chức thuộc phạm vi quản lý của tỉnh Thanh Hóa tại Tờ trình số </w:t>
      </w:r>
      <w:r>
        <w:rPr>
          <w:rFonts w:ascii="Times New Roman" w:hAnsi="Times New Roman" w:cs="Times New Roman"/>
          <w:sz w:val="28"/>
          <w:szCs w:val="28"/>
          <w:lang w:val="en-US"/>
        </w:rPr>
        <w:t>…</w:t>
      </w:r>
      <w:r>
        <w:rPr>
          <w:rFonts w:ascii="Times New Roman" w:hAnsi="Times New Roman" w:cs="Times New Roman"/>
          <w:sz w:val="28"/>
          <w:szCs w:val="28"/>
        </w:rPr>
        <w:t xml:space="preserve">/TTr-STC ngày </w:t>
      </w:r>
      <w:r>
        <w:rPr>
          <w:rFonts w:ascii="Times New Roman" w:hAnsi="Times New Roman" w:cs="Times New Roman"/>
          <w:sz w:val="28"/>
          <w:szCs w:val="28"/>
          <w:lang w:val="en-US"/>
        </w:rPr>
        <w:t>…/…/2026</w:t>
      </w:r>
      <w:r>
        <w:rPr>
          <w:rFonts w:ascii="Times New Roman" w:hAnsi="Times New Roman" w:cs="Times New Roman"/>
          <w:sz w:val="28"/>
          <w:szCs w:val="28"/>
        </w:rPr>
        <w:t>.</w:t>
      </w:r>
    </w:p>
    <w:p>
      <w:pPr>
        <w:spacing w:before="60"/>
        <w:rPr>
          <w:rFonts w:ascii="Times New Roman" w:hAnsi="Times New Roman" w:cs="Times New Roman"/>
          <w:b/>
          <w:sz w:val="28"/>
          <w:szCs w:val="28"/>
        </w:rPr>
      </w:pPr>
      <w:r>
        <w:rPr>
          <w:rFonts w:ascii="Times New Roman" w:hAnsi="Times New Roman" w:cs="Times New Roman"/>
          <w:b/>
          <w:sz w:val="28"/>
          <w:szCs w:val="28"/>
        </w:rPr>
        <w:t>2. Các bước thực hiện tiếp theo</w:t>
      </w:r>
    </w:p>
    <w:p>
      <w:pPr>
        <w:spacing w:before="60"/>
        <w:rPr>
          <w:rFonts w:ascii="Times New Roman" w:hAnsi="Times New Roman" w:cs="Times New Roman"/>
          <w:sz w:val="28"/>
          <w:szCs w:val="28"/>
        </w:rPr>
      </w:pPr>
      <w:r>
        <w:rPr>
          <w:rFonts w:ascii="Times New Roman" w:hAnsi="Times New Roman" w:cs="Times New Roman"/>
          <w:sz w:val="28"/>
          <w:szCs w:val="28"/>
        </w:rPr>
        <w:t>- UBND tỉnh xem xét, báo cáo Đảng ủy UBND tỉnh để báo cáo Ban Thường vụ Tỉnh ủy xem xét, có ý kiến.</w:t>
      </w:r>
    </w:p>
    <w:p>
      <w:pPr>
        <w:spacing w:before="60"/>
        <w:rPr>
          <w:rFonts w:ascii="Times New Roman" w:hAnsi="Times New Roman" w:cs="Times New Roman"/>
          <w:sz w:val="28"/>
          <w:szCs w:val="28"/>
          <w:lang w:val="en-US"/>
        </w:rPr>
      </w:pPr>
      <w:r>
        <w:rPr>
          <w:rFonts w:ascii="Times New Roman" w:hAnsi="Times New Roman" w:cs="Times New Roman"/>
          <w:sz w:val="28"/>
          <w:szCs w:val="28"/>
        </w:rPr>
        <w:t>- Căn cứ ý kiến của Ban Thường vụ Tỉnh ủy, Đảng ủy UBND tỉnh chỉ đạo UBND tỉnh hoàn thiện trình HĐND tỉnh</w:t>
      </w:r>
      <w:r>
        <w:rPr>
          <w:rFonts w:ascii="Times New Roman" w:hAnsi="Times New Roman" w:cs="Times New Roman"/>
          <w:sz w:val="28"/>
          <w:szCs w:val="28"/>
          <w:lang w:val="en-US"/>
        </w:rPr>
        <w:t>.</w:t>
      </w:r>
    </w:p>
    <w:p>
      <w:pPr>
        <w:spacing w:before="60"/>
        <w:rPr>
          <w:rFonts w:ascii="Times New Roman" w:hAnsi="Times New Roman" w:cs="Times New Roman"/>
          <w:b/>
          <w:sz w:val="28"/>
          <w:szCs w:val="28"/>
        </w:rPr>
      </w:pPr>
      <w:bookmarkStart w:id="2" w:name="_Hlk209962270"/>
      <w:bookmarkEnd w:id="1"/>
      <w:r>
        <w:rPr>
          <w:rFonts w:ascii="Times New Roman" w:hAnsi="Times New Roman" w:cs="Times New Roman"/>
          <w:b/>
          <w:sz w:val="28"/>
          <w:szCs w:val="28"/>
        </w:rPr>
        <w:t xml:space="preserve">IV. BỐ CỤC VÀ NỘI DUNG CƠ BẢN CỦA DỰ THẢO NGHỊ QUYẾT </w:t>
      </w:r>
    </w:p>
    <w:p>
      <w:pPr>
        <w:spacing w:before="60"/>
        <w:rPr>
          <w:rFonts w:ascii="Times New Roman" w:hAnsi="Times New Roman" w:cs="Times New Roman"/>
          <w:b/>
          <w:sz w:val="28"/>
          <w:szCs w:val="28"/>
        </w:rPr>
      </w:pPr>
      <w:r>
        <w:rPr>
          <w:rFonts w:ascii="Times New Roman" w:hAnsi="Times New Roman" w:cs="Times New Roman"/>
          <w:b/>
          <w:sz w:val="28"/>
          <w:szCs w:val="28"/>
        </w:rPr>
        <w:t xml:space="preserve">1. Phạm vi điều chỉnh, đối tượng áp dụng </w:t>
      </w:r>
    </w:p>
    <w:p>
      <w:pPr>
        <w:spacing w:before="60"/>
        <w:rPr>
          <w:rFonts w:ascii="Times New Roman" w:hAnsi="Times New Roman" w:cs="Times New Roman"/>
          <w:b/>
          <w:sz w:val="28"/>
          <w:szCs w:val="28"/>
        </w:rPr>
      </w:pPr>
      <w:r>
        <w:rPr>
          <w:rFonts w:ascii="Times New Roman" w:hAnsi="Times New Roman" w:cs="Times New Roman"/>
          <w:b/>
          <w:sz w:val="28"/>
          <w:szCs w:val="28"/>
        </w:rPr>
        <w:t>a) Phạm vi điều chỉnh</w:t>
      </w:r>
    </w:p>
    <w:p>
      <w:pPr>
        <w:widowControl w:val="0"/>
        <w:suppressAutoHyphens/>
        <w:spacing w:before="60"/>
        <w:rPr>
          <w:rFonts w:ascii="Times New Roman" w:hAnsi="Times New Roman" w:cs="Times New Roman"/>
          <w:sz w:val="28"/>
          <w:szCs w:val="28"/>
          <w:lang w:val="en-US"/>
        </w:rPr>
      </w:pPr>
      <w:r>
        <w:rPr>
          <w:rFonts w:ascii="Times New Roman" w:eastAsia="Times New Roman" w:hAnsi="Times New Roman" w:cs="Times New Roman"/>
          <w:color w:val="000000"/>
          <w:spacing w:val="-2"/>
          <w:sz w:val="28"/>
          <w:szCs w:val="28"/>
          <w:lang w:val="en-US"/>
        </w:rPr>
        <w:t>Nghi quyết</w:t>
      </w:r>
      <w:r>
        <w:rPr>
          <w:rFonts w:ascii="Times New Roman" w:eastAsia="Times New Roman" w:hAnsi="Times New Roman" w:cs="Times New Roman"/>
          <w:color w:val="000000"/>
          <w:spacing w:val="-2"/>
          <w:sz w:val="28"/>
          <w:szCs w:val="28"/>
        </w:rPr>
        <w:t xml:space="preserve"> này </w:t>
      </w:r>
      <w:r>
        <w:rPr>
          <w:rFonts w:ascii="Times New Roman" w:eastAsia="Times New Roman" w:hAnsi="Times New Roman" w:cs="Times New Roman"/>
          <w:sz w:val="28"/>
          <w:szCs w:val="28"/>
        </w:rPr>
        <w:t xml:space="preserve">Quy định </w:t>
      </w:r>
      <w:r>
        <w:rPr>
          <w:rFonts w:ascii="Times New Roman" w:eastAsia="Times New Roman" w:hAnsi="Times New Roman" w:cs="Times New Roman"/>
          <w:sz w:val="28"/>
          <w:szCs w:val="28"/>
          <w:lang w:val="en-US"/>
        </w:rPr>
        <w:t xml:space="preserve">một số nội dung và mức chi cho công tác đào tạo, bồi dưỡng công chức, viên chức thuộc phạm vi quản lý của </w:t>
      </w:r>
      <w:r>
        <w:rPr>
          <w:rFonts w:ascii="Times New Roman" w:eastAsia="Times New Roman" w:hAnsi="Times New Roman" w:cs="Times New Roman"/>
          <w:sz w:val="28"/>
          <w:szCs w:val="28"/>
        </w:rPr>
        <w:t>tỉnh Thanh Hóa</w:t>
      </w:r>
      <w:r>
        <w:rPr>
          <w:rFonts w:ascii="Times New Roman" w:hAnsi="Times New Roman" w:cs="Times New Roman"/>
          <w:sz w:val="28"/>
          <w:szCs w:val="28"/>
          <w:lang w:val="en-US"/>
        </w:rPr>
        <w:t xml:space="preserve"> (bao gồm nhiệm vụ đào tạo, bồi dưỡng nâng cao trình độ công chức, viên chức sau sắp xếp tổ chức bộ máy của hệ thống chính trị).</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Trường hợp các chương trình/đề án/dự án có văn bản hướng dẫn riêng thì thực hiện theo quy định tại các văn bản hướng dẫn của chương trình/đề án/dự án đó. Các nội dung không quy định tại Nghị quyết này được thực hiện theo Thông tư số </w:t>
      </w:r>
      <w:r>
        <w:rPr>
          <w:rFonts w:ascii="Times New Roman" w:eastAsia="Times New Roman" w:hAnsi="Times New Roman" w:cs="Times New Roman"/>
          <w:sz w:val="28"/>
          <w:szCs w:val="28"/>
          <w:lang w:val="en-US"/>
        </w:rPr>
        <w:lastRenderedPageBreak/>
        <w:t>100/2025/TT-BTC ngày 28/10/2025 của Bộ trưởng Bộ Tài chính hướng dẫn lập dự toán, quản lý, sử dụng và quyết toán kinh phí dành cho công tác đào tạo, bồi dưỡng công chức, viên chức.</w:t>
      </w:r>
    </w:p>
    <w:p>
      <w:pPr>
        <w:spacing w:before="60"/>
        <w:rPr>
          <w:rFonts w:ascii="Times New Roman" w:hAnsi="Times New Roman" w:cs="Times New Roman"/>
          <w:b/>
          <w:sz w:val="28"/>
          <w:szCs w:val="28"/>
        </w:rPr>
      </w:pPr>
      <w:r>
        <w:rPr>
          <w:rFonts w:ascii="Times New Roman" w:hAnsi="Times New Roman" w:cs="Times New Roman"/>
          <w:b/>
          <w:sz w:val="28"/>
          <w:szCs w:val="28"/>
        </w:rPr>
        <w:t xml:space="preserve">b) Đối tượng áp dụng </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Công chức trong cơ quan của Đảng Cộng sản Việt Nam, Nhà nước, Mặt trận Tổ quốc Việt Nam, tổ chức chính trị - xã hội ở cấp tỉnh, cấp xã;</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Viên chức trong đơn vị sự nghiệp công lập;</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Các cơ quan, tổ chức, cá nhân khác có liên quan.</w:t>
      </w:r>
    </w:p>
    <w:p>
      <w:pPr>
        <w:spacing w:before="60"/>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lang w:val="en-US"/>
        </w:rPr>
        <w:t>2</w:t>
      </w:r>
      <w:r>
        <w:rPr>
          <w:rFonts w:ascii="Times New Roman" w:eastAsia="Times New Roman" w:hAnsi="Times New Roman" w:cs="Times New Roman"/>
          <w:b/>
          <w:bCs/>
          <w:spacing w:val="-4"/>
          <w:sz w:val="28"/>
          <w:szCs w:val="28"/>
        </w:rPr>
        <w:t>. Bố cục của dự thảo Nghị quyết</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quyết được xây dựng bố cục thành 0</w:t>
      </w:r>
      <w:r>
        <w:rPr>
          <w:rFonts w:ascii="Times New Roman" w:eastAsia="Times New Roman" w:hAnsi="Times New Roman" w:cs="Times New Roman"/>
          <w:sz w:val="28"/>
          <w:szCs w:val="28"/>
          <w:lang w:val="en-US"/>
        </w:rPr>
        <w:t>7</w:t>
      </w:r>
      <w:r>
        <w:rPr>
          <w:rFonts w:ascii="Times New Roman" w:eastAsia="Times New Roman" w:hAnsi="Times New Roman" w:cs="Times New Roman"/>
          <w:sz w:val="28"/>
          <w:szCs w:val="28"/>
        </w:rPr>
        <w:t xml:space="preserve"> Điều, bao gồm:</w:t>
      </w:r>
    </w:p>
    <w:p>
      <w:pPr>
        <w:pStyle w:val="BodyText"/>
        <w:spacing w:before="60"/>
        <w:ind w:firstLine="720"/>
        <w:rPr>
          <w:rFonts w:ascii="Times New Roman" w:eastAsia="SimSun" w:hAnsi="Times New Roman"/>
        </w:rPr>
      </w:pPr>
      <w:r>
        <w:rPr>
          <w:rFonts w:ascii="Times New Roman" w:eastAsia="SimSun" w:hAnsi="Times New Roman"/>
        </w:rPr>
        <w:t>Điều 1. Phạm vi điều chỉnh.</w:t>
      </w:r>
    </w:p>
    <w:p>
      <w:pPr>
        <w:pStyle w:val="BodyText"/>
        <w:spacing w:before="60"/>
        <w:ind w:firstLine="720"/>
        <w:rPr>
          <w:rFonts w:ascii="Times New Roman" w:hAnsi="Times New Roman"/>
          <w:bCs/>
          <w:iCs/>
          <w:color w:val="000000"/>
          <w:szCs w:val="28"/>
        </w:rPr>
      </w:pPr>
      <w:r>
        <w:rPr>
          <w:rFonts w:ascii="Times New Roman" w:eastAsia="SimSun" w:hAnsi="Times New Roman"/>
          <w:szCs w:val="28"/>
        </w:rPr>
        <w:t>Điều 2</w:t>
      </w:r>
      <w:r>
        <w:rPr>
          <w:rFonts w:ascii="Times New Roman" w:hAnsi="Times New Roman"/>
          <w:bCs/>
          <w:i/>
          <w:iCs/>
          <w:color w:val="000000"/>
          <w:szCs w:val="28"/>
        </w:rPr>
        <w:t xml:space="preserve">. </w:t>
      </w:r>
      <w:r>
        <w:rPr>
          <w:rFonts w:ascii="Times New Roman" w:hAnsi="Times New Roman"/>
          <w:bCs/>
          <w:iCs/>
          <w:color w:val="000000"/>
          <w:szCs w:val="28"/>
        </w:rPr>
        <w:t>Đối tượng áp dụng</w:t>
      </w:r>
    </w:p>
    <w:p>
      <w:pPr>
        <w:spacing w:before="60"/>
        <w:rPr>
          <w:rFonts w:ascii="Times New Roman" w:hAnsi="Times New Roman" w:cs="Times New Roman"/>
          <w:sz w:val="28"/>
          <w:szCs w:val="28"/>
          <w:lang w:val="en-US"/>
        </w:rPr>
      </w:pPr>
      <w:r>
        <w:rPr>
          <w:rFonts w:ascii="Times New Roman" w:hAnsi="Times New Roman" w:cs="Times New Roman"/>
          <w:sz w:val="28"/>
          <w:szCs w:val="28"/>
        </w:rPr>
        <w:t xml:space="preserve">Điều 3. </w:t>
      </w:r>
      <w:r>
        <w:rPr>
          <w:rFonts w:ascii="Times New Roman" w:hAnsi="Times New Roman" w:cs="Times New Roman"/>
          <w:sz w:val="28"/>
          <w:szCs w:val="28"/>
          <w:lang w:val="en-US"/>
        </w:rPr>
        <w:t>Nội dung và mức chi đào tạo, bồi dưỡng</w:t>
      </w:r>
    </w:p>
    <w:p>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Điều 4. Nguồn kinh phí</w:t>
      </w:r>
    </w:p>
    <w:p>
      <w:pPr>
        <w:pStyle w:val="BodyText"/>
        <w:spacing w:before="60"/>
        <w:ind w:firstLine="720"/>
        <w:rPr>
          <w:rFonts w:ascii="Times New Roman" w:eastAsiaTheme="minorHAnsi" w:hAnsi="Times New Roman"/>
          <w:szCs w:val="28"/>
          <w:lang w:val="en-US"/>
        </w:rPr>
      </w:pPr>
      <w:r>
        <w:rPr>
          <w:rFonts w:ascii="Times New Roman" w:eastAsiaTheme="minorHAnsi" w:hAnsi="Times New Roman"/>
          <w:szCs w:val="28"/>
          <w:lang w:val="en-US"/>
        </w:rPr>
        <w:t>Điều 5. Điều khoản áp dụng</w:t>
      </w:r>
    </w:p>
    <w:p>
      <w:pPr>
        <w:pStyle w:val="BodyText"/>
        <w:spacing w:before="60"/>
        <w:ind w:firstLine="720"/>
        <w:rPr>
          <w:rFonts w:ascii="Times New Roman" w:eastAsia="SimSun" w:hAnsi="Times New Roman"/>
          <w:lang w:val="en-US"/>
        </w:rPr>
      </w:pPr>
      <w:r>
        <w:rPr>
          <w:rFonts w:ascii="Times New Roman" w:eastAsia="SimSun" w:hAnsi="Times New Roman"/>
        </w:rPr>
        <w:t xml:space="preserve">Điều </w:t>
      </w:r>
      <w:r>
        <w:rPr>
          <w:rFonts w:ascii="Times New Roman" w:eastAsia="SimSun" w:hAnsi="Times New Roman"/>
          <w:lang w:val="en-US"/>
        </w:rPr>
        <w:t>6</w:t>
      </w:r>
      <w:r>
        <w:rPr>
          <w:rFonts w:ascii="Times New Roman" w:eastAsia="SimSun" w:hAnsi="Times New Roman"/>
        </w:rPr>
        <w:t xml:space="preserve">. </w:t>
      </w:r>
      <w:r>
        <w:rPr>
          <w:rFonts w:ascii="Times New Roman" w:eastAsia="SimSun" w:hAnsi="Times New Roman"/>
          <w:lang w:val="en-US"/>
        </w:rPr>
        <w:t>Tổ chức thực hiện</w:t>
      </w:r>
    </w:p>
    <w:p>
      <w:pPr>
        <w:pStyle w:val="BodyText"/>
        <w:spacing w:before="60"/>
        <w:ind w:firstLine="720"/>
        <w:rPr>
          <w:rFonts w:ascii="Times New Roman" w:eastAsia="SimSun" w:hAnsi="Times New Roman"/>
          <w:lang w:val="en-US"/>
        </w:rPr>
      </w:pPr>
      <w:r>
        <w:rPr>
          <w:rFonts w:ascii="Times New Roman" w:eastAsiaTheme="minorHAnsi" w:hAnsi="Times New Roman"/>
          <w:szCs w:val="28"/>
          <w:lang w:val="en-US"/>
        </w:rPr>
        <w:t>Điều 7. Điều khoản thi hành</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3</w:t>
      </w:r>
      <w:r>
        <w:rPr>
          <w:rFonts w:ascii="Times New Roman" w:eastAsia="Times New Roman" w:hAnsi="Times New Roman" w:cs="Times New Roman"/>
          <w:b/>
          <w:bCs/>
          <w:sz w:val="28"/>
          <w:szCs w:val="28"/>
        </w:rPr>
        <w:t>. Nội dung cơ bản của dự thảo Nghị quyết</w:t>
      </w:r>
    </w:p>
    <w:p>
      <w:pPr>
        <w:spacing w:before="60"/>
        <w:rPr>
          <w:rFonts w:ascii="Times New Roman" w:hAnsi="Times New Roman" w:cs="Times New Roman"/>
          <w:b/>
          <w:sz w:val="28"/>
          <w:szCs w:val="28"/>
          <w:lang w:val="en-US"/>
        </w:rPr>
      </w:pPr>
      <w:r>
        <w:rPr>
          <w:rFonts w:ascii="Times New Roman" w:hAnsi="Times New Roman" w:cs="Times New Roman"/>
          <w:b/>
          <w:sz w:val="28"/>
          <w:szCs w:val="28"/>
          <w:lang w:val="en-US"/>
        </w:rPr>
        <w:t>3.1</w:t>
      </w:r>
      <w:r>
        <w:rPr>
          <w:rFonts w:ascii="Times New Roman" w:hAnsi="Times New Roman" w:cs="Times New Roman"/>
          <w:b/>
          <w:sz w:val="28"/>
          <w:szCs w:val="28"/>
        </w:rPr>
        <w:t xml:space="preserve">. </w:t>
      </w:r>
      <w:r>
        <w:rPr>
          <w:rFonts w:ascii="Times New Roman" w:hAnsi="Times New Roman" w:cs="Times New Roman"/>
          <w:b/>
          <w:sz w:val="28"/>
          <w:szCs w:val="28"/>
          <w:lang w:val="en-US"/>
        </w:rPr>
        <w:t>Nội dung và mức chi đào tạo, bồi dưỡng</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3.1.1. Nội dung và mức chi đào tạo công chức trong nước</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Chi phí dịch vụ đào tạo và các khoản chi phí bắt buộc phải trả cho các cơ sở đào tạo: Theo hóa đơn của cơ sở đào tạo nơi công chức được cử đi đào tạo hoặc theo hợp đồng cụ thể do cấp có thẩm quyền ký kết.</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Chi hỗ trợ kinh phí mua tài liệu học tập bắt buộc: Căn cứ khả năng ngân sách được giao, căn cứ vào chứng từ, hóa đơn hợp pháp, thủ trưởng cơ quan, đơn vị xem xét quyết định mức chi hỗ trợ kinh phí mua tài liệu học tập bắt buộc cho đối tượng được cử đi đào tạo cho phù hợp.</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Căn cứ khả năng ngân sách, Thủ trưởng các cơ quan, đơn vị quyết định mức chi hỗ trợ từ nguồn kinh phí chi thường xuyên và nguồn kinh phí khác của mình cho công chức được cử đi đào tạo đối với các nội dung:</w:t>
      </w:r>
    </w:p>
    <w:p>
      <w:pPr>
        <w:shd w:val="clear" w:color="auto" w:fill="FFFFFF"/>
        <w:tabs>
          <w:tab w:val="left" w:pos="0"/>
          <w:tab w:val="left" w:pos="567"/>
        </w:tabs>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tại cơ sở đào tạo (trong trường hợp cơ sở đào tạo và đơn vị tổ chức đào tạo xác nhận không bố trí được chỗ nghỉ): Các khoản chi hỗ trợ bằng 70% mức chi quy định tại Nghị quyết số 64/2017/NQ-HĐND ngày 12/7/2017 của HĐND tỉnh quy định chế độ công tác phí, chế độ chi tổ chức hội nghị đối với các cơ quan nhà nước và đơn vị sự nghiệp công lập tỉnh Thanh Hóa; Nghị quyết số 18/2025/NQ-HĐND ngày 21/7/2025 của HĐND tỉnh về sửa đổi, bổ sung một số nội dung tại Điều 1 Nghị quyết số 64/2017/NQ-HĐND ngày 12/7/2017 của HĐND tỉnh quy định chế độ công tác phí, </w:t>
      </w:r>
      <w:r>
        <w:rPr>
          <w:rFonts w:ascii="Times New Roman" w:eastAsia="Times New Roman" w:hAnsi="Times New Roman" w:cs="Times New Roman"/>
          <w:sz w:val="28"/>
          <w:szCs w:val="28"/>
          <w:lang w:val="en-US"/>
        </w:rPr>
        <w:lastRenderedPageBreak/>
        <w:t>chế độ chi tổ chức hội nghị đối với các cơ quan nhà nước và đơn vị sự nghiệp công lập tỉnh Thanh Hóa đã được sửa đổi, bổ sung tại Điều 1 Nghị quyết số 29/2024/NQ-HĐND ngày 10/7/2024 của HĐND tỉnh.</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hỗ trợ các công chức là nữ, ưu tiên nữ khi tham gia đào tạo mang theo con dưới ba mươi sáu tháng tuổi; công chức là người dân tộc thiểu số được cử tham gia đào tạo theo các chính sách, chế độ quy định của pháp luật về bình đẳng giới và công tác dân tộc.</w:t>
      </w:r>
    </w:p>
    <w:p>
      <w:pPr>
        <w:shd w:val="clear" w:color="auto" w:fill="FFFFFF"/>
        <w:spacing w:before="6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3.1.2. Nội dung và mức chi bồi dưỡng công chức trong nước</w:t>
      </w:r>
    </w:p>
    <w:p>
      <w:pPr>
        <w:shd w:val="clear" w:color="auto" w:fill="FFFFFF"/>
        <w:spacing w:before="60"/>
        <w:rPr>
          <w:rFonts w:ascii="Times New Roman" w:hAnsi="Times New Roman" w:cs="Times New Roman"/>
          <w:sz w:val="28"/>
          <w:szCs w:val="28"/>
          <w:lang w:val="en-US"/>
        </w:rPr>
      </w:pPr>
      <w:r>
        <w:rPr>
          <w:rFonts w:ascii="Times New Roman" w:hAnsi="Times New Roman" w:cs="Times New Roman"/>
          <w:sz w:val="28"/>
          <w:szCs w:val="28"/>
          <w:lang w:val="en-US"/>
        </w:rPr>
        <w:t>a) Các nội dung chi do các cơ sở đào tạo, bồi dưỡng hoặc các cơ quan, đơn vị được giao nhiệm vụ mở lớp bồi dưỡng công chức, giao nhiệm vụ biên soạn chương trình, tài liệu bồi dưỡng thực hiện.</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a1)  Chi tiền công giảng viên, trợ giảng, báo cáo viên (đã bao gồm tiền công soạn giáo án bài giảng, 01 buổi giảng được tính bằng 04 tiết học)</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(i) Đối với giảng viên, trợ giảng, báo cáo viên trong nước</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Thủ trưởng cơ quan, đơn vị được giao chủ trì tổ chức các khóa bồi dưỡng công chức quyết định mức chi tiền công cho giảng viên, trợ giảng, báo cáo viên trên cơ sở thỏa thuận theo hình thức hợp đồng công việc phù hợp với chất lượng, trình độ của giảng viên, trợ giảng, báo cáo viên trong phạm vi dự toán được giao.</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Giảng viên, báo cáo viên là Ủy viên Trung ương Đảng, Bộ trưởng, Bí thư Tỉnh ủy và các chức danh tương đương: Mức chi 4.000.000 đồng/người/buổi.</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Giảng viên, báo cáo viên là Thứ trưởng, Chủ tịch HĐND tỉnh, Chủ tịch UBND tỉnh, Phó Bí thư Tỉnh ủy và các chức danh tương đương; giáo sư, chuyên gia cao cấp, tiến sỹ khoa học: Mức chi 3.000.000 đồng/người/buổi.</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Giảng viên, báo cáo viên là Phó Chủ tịch HĐND tỉnh, Phó Chủ tịch UBND tỉnh, Vụ trưởng thuộc Bộ, Viện trưởng thuộc Bộ và các chức danh tương đương; phó giáo sư: Mức chi 2.500.000 đồng/người/buổi.</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Giảng viên, báo cáo viên là Phó Vụ trưởng thuộc Bộ, Phó Viện trưởng thuộc Bộ, Cục trưởng, Phó Cục trưởng và các chức danh tương đương; Giám đốc Sở, Phó Giám đốc Sở và tương đương; tiến sỹ, giảng viên chính, chuyên viên cao cấp: Mức chi 2.000.000 đồng/người/buổi.</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Giảng viên, báo cáo viên là cán bộ công chức viên chức công tác tại các cơ quan, đơn vị ở Trung ương, cấp tỉnh; Chủ tịch, Phó Chủ tịch UBND xã, phường (ngoài 4 đối tượng nêu trên): Mức chi 1.500.000 đồng/người/buổi.</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Giảng viên, báo cáo viên là cán bộ công chức viên chức công tác tại các cơ quan, đơn vị cấp xã, phường (ngoài 5 đối tượng nêu trên): Mức chi 1.000.000 đồng/người/buổi.</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Trợ giảng (nếu có): Mức chi bằng 50% mức chi tiền công giảng viên, báo cáo viên của cùng một buổi giảng.</w:t>
      </w:r>
    </w:p>
    <w:p>
      <w:pPr>
        <w:shd w:val="clear" w:color="auto" w:fill="FFFFFF"/>
        <w:spacing w:before="60"/>
        <w:rPr>
          <w:rFonts w:ascii="Times New Roman" w:hAnsi="Times New Roman" w:cs="Times New Roman"/>
          <w:sz w:val="28"/>
          <w:szCs w:val="28"/>
          <w:lang w:val="en-US"/>
        </w:rPr>
      </w:pPr>
      <w:r>
        <w:rPr>
          <w:rFonts w:ascii="Times New Roman" w:hAnsi="Times New Roman" w:cs="Times New Roman"/>
          <w:sz w:val="28"/>
          <w:szCs w:val="28"/>
          <w:lang w:val="en-US"/>
        </w:rPr>
        <w:t>(ii) Đối với giảng viên cơ hữu làm nhiệm vụ giảng dạy trong các cơ sở đào tạo, bồi dưỡng, thì số giờ giảng trong chương trình đào tạo vượt định mức được thanh toán theo quy định hiện hành về chế độ trả lương dạy thêm giờ đối với nhà giáo trong các cơ sở giáo dục công lập theo quy định tại Thông tư số 21/2025/TT-</w:t>
      </w:r>
      <w:r>
        <w:rPr>
          <w:rFonts w:ascii="Times New Roman" w:hAnsi="Times New Roman" w:cs="Times New Roman"/>
          <w:sz w:val="28"/>
          <w:szCs w:val="28"/>
          <w:lang w:val="en-US"/>
        </w:rPr>
        <w:lastRenderedPageBreak/>
        <w:t>BGDĐT ngày 23 tháng 9 năm 2025 của Bộ trưởng Bộ Giáo dục và Đào tạo quy định chế độ trả tiền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tiền công theo quy định.</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(iii) Đối với giảng viên nước ngoài: Tùy theo mức độ cần thiết, các cơ sở đào tạo, bồi dưỡng quyết định việc mời giảng viên nước ngoài. Mức tiền công đối với giảng viên nước ngoài do cơ sở đào tạo, bồi dưỡng quyết định trên cơ sở thỏa thuận tùy theo chất lượng, trình độ giảng viên và bảo đảm phù hợp với khả năng nguồn kinh phí đào tạo, bồi dưỡng của cơ quan, đơn vị.</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xml:space="preserve">a2) Phụ cấp tiền ăn cho giảng viên, báo cáo viên, trợ giảng: </w:t>
      </w:r>
    </w:p>
    <w:p>
      <w:pPr>
        <w:spacing w:before="60"/>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Tùy theo địa điểm, thời gian tổ chức lớp học, các cơ quan, đơn vị được giao chủ trì tổ chức các lớp bồi dưỡng quyết định chi phụ cấp tiền ăn cho giảng viên, báo cáo viên, trợ giảng trong nước phù hợp với mức chi phụ cấp lưu trú được quy định tại Nghị quyết số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pPr>
        <w:spacing w:before="60"/>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Đối với giảng viên nước ngoài: </w:t>
      </w:r>
      <w:r>
        <w:rPr>
          <w:rFonts w:ascii="Times New Roman" w:hAnsi="Times New Roman" w:cs="Times New Roman"/>
          <w:sz w:val="28"/>
          <w:szCs w:val="28"/>
          <w:lang w:val="en-US"/>
        </w:rPr>
        <w:t xml:space="preserve">Tùy theo mức độ cần thiết, các cơ sở đào tạo, bồi dưỡng quyết định việc mời giảng viên nước ngoài. Mức chi tiền ăn đối với giảng viên nước ngoài do cơ sở đào tạo, bồi dưỡng quyết định trên cơ sở thỏa thuận tùy theo chất lượng giảng viên và bảo đảm phù hợp với khả năng nguồn kinh phí đào tạo, bồi dưỡng của cơ quan, đơn vị. </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a3) Chi phí thanh toán tiền phương tiện đi lại, tiền thuê phòng nghỉ cho giảng viên, báo cáo viên, trợ giảng</w:t>
      </w:r>
    </w:p>
    <w:p>
      <w:pPr>
        <w:spacing w:before="60"/>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Trường hợp cơ quan, đơn vị không bố trí được phương tiên, không có điều kiện bố trí chỗ nghỉ cho giảng viên, báo cáo viên, trợ giảng trong nước mà phải đi thuê thì được chi theo mức chi quy định tại Nghị quyết số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pPr>
        <w:spacing w:before="60"/>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Đối với giảng viên nước ngoài: </w:t>
      </w:r>
      <w:r>
        <w:rPr>
          <w:rFonts w:ascii="Times New Roman" w:hAnsi="Times New Roman" w:cs="Times New Roman"/>
          <w:sz w:val="28"/>
          <w:szCs w:val="28"/>
          <w:lang w:val="en-US"/>
        </w:rPr>
        <w:t xml:space="preserve">Tùy theo mức độ cần thiết, các cơ sở đào tạo, bồi dưỡng quyết định việc mời giảng viên nước ngoài. Mức chi tiền phương tiện đi lại, tiền thuê phòng nghỉ đối với giảng viên nước ngoài do cơ sở đào tạo, bồi dưỡng quyết định trên cơ sở thỏa thuận tùy theo chất lượng giảng viên và bảo đảm phù hợp với khả năng nguồn kinh phí đào tạo, bồi dưỡng của cơ quan, đơn vị. </w:t>
      </w:r>
    </w:p>
    <w:p>
      <w:pPr>
        <w:spacing w:before="60"/>
        <w:ind w:right="-108"/>
        <w:rPr>
          <w:rFonts w:ascii="Times New Roman" w:eastAsia="Times New Roman" w:hAnsi="Times New Roman" w:cs="Times New Roman"/>
          <w:noProof/>
          <w:sz w:val="24"/>
          <w:szCs w:val="28"/>
          <w:lang w:val="en-US"/>
        </w:rPr>
      </w:pPr>
      <w:r>
        <w:rPr>
          <w:rFonts w:ascii="Times New Roman" w:hAnsi="Times New Roman" w:cs="Times New Roman"/>
          <w:sz w:val="28"/>
          <w:szCs w:val="28"/>
          <w:lang w:val="en-US"/>
        </w:rPr>
        <w:t>a4) Chi dịch thuật: Thực hiện mức chi dịch thuật theo quy định tại Nghị quyết của HĐND tỉnh q</w:t>
      </w:r>
      <w:r>
        <w:rPr>
          <w:rFonts w:ascii="Times New Roman" w:hAnsi="Times New Roman" w:cs="Times New Roman"/>
          <w:sz w:val="28"/>
          <w:szCs w:val="28"/>
        </w:rPr>
        <w:t>uy định mức chi tiếp khách nước ngoài vào làm việc, chi tổ chức hội nghị, hội thảo quốc tế và tiếp khách trong nước trên địa bàn tỉnh Thanh Hóa</w:t>
      </w:r>
      <w:r>
        <w:rPr>
          <w:rFonts w:ascii="Times New Roman" w:eastAsia="Times New Roman" w:hAnsi="Times New Roman" w:cs="Times New Roman"/>
          <w:noProof/>
          <w:sz w:val="24"/>
          <w:szCs w:val="28"/>
          <w:lang w:val="en-US"/>
        </w:rPr>
        <w:t>.</w:t>
      </w:r>
    </w:p>
    <w:p>
      <w:pPr>
        <w:spacing w:before="6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a5) Chi giải khát giữa giờ phục vụ lớp học: Thực hiện theo mức chi giải khát giữa giờ đối với hội nghị quy định tại Nghị quyết số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 xml:space="preserve">a6) Chi ra đề thi, coi thi, chấm thi: Thực hiện theo mức chi tiền công ra đề thi, coi thi, chấm thi cho các chức danh thực hiện các nhiệm vụ thi trong kỳ thi tuyển sinh </w:t>
      </w:r>
      <w:r>
        <w:rPr>
          <w:rFonts w:ascii="Times New Roman" w:hAnsi="Times New Roman" w:cs="Times New Roman"/>
          <w:sz w:val="28"/>
          <w:szCs w:val="28"/>
          <w:lang w:val="en-US"/>
        </w:rPr>
        <w:lastRenderedPageBreak/>
        <w:t>vào lớp 10 trung học phổ thông, lớp 10 trung học phổ thông chuyên Lam Sơn tại Phụ lục II kèm theo Nghị quyết số 252/2022/NQ-HĐND ngày 13/7/2022 của HĐND tỉnh, được sửa đổi, bổ sung tại Nghị quyết số 35/2024/NQ-HĐND ngày 25/10/2024, Nghị quyết số 38/2025/NQ-HĐND ngày 04/10/2025 của HĐND tỉnh; Thủ trưởng cơ quan, đơn vị được giao chủ trì tổ chức các khóa bồi dưỡng quyết định mức cụ thể và phải được quy định trong quy chế chi tiêu nội bộ của đơn vị.</w:t>
      </w:r>
    </w:p>
    <w:p>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Riêng đối với các giảng viên cơ hữu làm nhiệm vụ giảng dạy trong các cơ sở đào tạo, bồi dưỡng, thực hiện quy đổi thời gian ra giờ chuẩn theo quy định tại Thông tư số 03/2023/TT-BNV ngày 30 tháng 4 năm 2024 của Bộ Nội vụ hướng dẫn một số quy định của Nghị định số 101/2017/NĐ-CP ngày 01 tháng 9 năm 2017 của Chính phủ về đào tạo, bồi dưỡng công chức, viên chức và Nghị định số 89/2021/NĐ-CP ngày, 18 tháng 10 năm 2021 của Chính phủ sửa đổi, bổ sung một số điều của Nghị định số 101/2017/NĐ-CP của Chính phủ về đào tạo, bồi dưỡng công chức, viên chức).</w:t>
      </w:r>
    </w:p>
    <w:p>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a7) Chi khen thưởng cho học viên đạt loại giỏi, loại xuất sắc: Căn cứ khả năng nguồn kinh phí, căn cứ số lượng học viên đạt loại giỏi, loại xuất sắc của từng lớp, cơ sở đào tạo được quyết định chi khen thưởng cho học viên đạt loại giỏi, loại xuất sắc với mức 400.000 đồng/học viên.</w:t>
      </w:r>
    </w:p>
    <w:p>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a8) Chi phí tổ chức đi khảo sát, thực tế theo yêu cầu của chương trình đào tạo, bồi dưỡng do cấp có thẩm quyền ban hành</w:t>
      </w:r>
    </w:p>
    <w:p>
      <w:pPr>
        <w:spacing w:before="60"/>
        <w:ind w:right="-108"/>
        <w:rPr>
          <w:rFonts w:ascii="Times New Roman" w:hAnsi="Times New Roman" w:cs="Times New Roman"/>
          <w:sz w:val="28"/>
          <w:szCs w:val="28"/>
          <w:lang w:val="en-US"/>
        </w:rPr>
      </w:pPr>
      <w:r>
        <w:rPr>
          <w:rFonts w:ascii="Times New Roman" w:hAnsi="Times New Roman" w:cs="Times New Roman"/>
          <w:sz w:val="28"/>
          <w:szCs w:val="28"/>
          <w:lang w:val="en-US"/>
        </w:rPr>
        <w:t>- Chi trả tiền phương tiện đưa, đón học viên đi khảo sát, thực tế: Theo hợp đồng, chứng từ chi thực tế.</w:t>
      </w:r>
    </w:p>
    <w:p>
      <w:pPr>
        <w:spacing w:before="6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Hỗ trợ một phần tiền ăn, tiền nghỉ cho học viên trong những ngày đi thực tế: Thủ trưởng các cơ quan, đơn vị, cơ sở đào tạo, bồi dưỡng quyết định mức hỗ trợ bằng 70% mức chi công tác phí quy định tại Nghị quyết số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tiền công, phụ cấp tiền ăn, phương tiện đi lại, thuê phòng nghỉ cho giảng viên, báo cáo viên, trợ giảng; chi nước uống; chi dịch thuật phục vụ khảo sát, thực tế (nếu có) theo quyết định đi khảo sát, thực tế của cơ sở đào tạo, bồi dưỡng hoặc cơ quan, đơn vị được giao nhiệm vụ mở lớp bồi dưỡng công chức: Thực hiện theo quy định tại các tiết a1, a2, a3, a4, a5 điểm này.</w:t>
      </w:r>
    </w:p>
    <w:p>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Các nội dung chi do cơ quan, đơn vị cử công chức đi bồi dưỡng thực hiện</w:t>
      </w:r>
    </w:p>
    <w:p>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Thủ trưởng các cơ quan, đơn vị cử công chức đi bồi dưỡng sử dụng từ nguồn kinh phí chi thường xuyên và  nguồn kinh phí khác của mình để hỗ trợ cho công chức những nội dung sau:</w:t>
      </w:r>
    </w:p>
    <w:p>
      <w:pPr>
        <w:spacing w:before="6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tại cơ sở bồi dưỡng (trong trường hợp cơ sở bồi dưỡng và đơn vị tổ chức bồi dưỡng xác nhận không bố trí được chỗ nghỉ): các khoản chi hỗ trợ bằng </w:t>
      </w:r>
      <w:r>
        <w:rPr>
          <w:rFonts w:ascii="Times New Roman" w:hAnsi="Times New Roman" w:cs="Times New Roman"/>
          <w:sz w:val="28"/>
          <w:szCs w:val="28"/>
          <w:lang w:val="en-US"/>
        </w:rPr>
        <w:t xml:space="preserve">70% mức chi công tác phí quy định tại Nghị quyết số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Cơ quan, đơn vị quản lý công chức không chi hỗ trợ tiền chi phí đi lại và tiền thuê chỗ nghỉ đối với các trường hợp là những người hoạt động không chuyên trách ở thôn, xóm, tổ dân phố đã được cơ sở đào tạo, bồi dưỡng hoặc các cơ quan, đơn vị được giao nhiệm vụ mở lớp bồi dưỡng chi hỗ trợ. Các cơ sở đào tạo, bồi dưỡng đã được ngân sách đầu tư xây dựng phòng nghỉ phải có trách nhiệm bố trí chỗ nghỉ cho học viên ở xa đối với những lớp được cấp có thẩm quyền giao nhiệm vụ và phân bổ kinh phí thực hiện; không được thu thêm khoản tiền phòng nghỉ của học viên;</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hỗ trợ các công chức là nữ, ưu tiên nữ khi tham gia bồi dưỡng mang theo con dưới ba mươi sáu tháng tuổi; công chức là người dân tộc thiểu số được cử tham gia bồi dưỡng theo các chính sách, chế độ quy định của pháp luật về bình đẳng giới và công tác dân tộc.</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Trường hợp cơ quan, đơn vị được giao kinh phí đào tạo, bồi dưỡng nhưng không có cơ sở đào tạo, bồi dưỡng, không đủ điều kiện tự tổ chức lớp phải cử công chức đi đào tạo, bồi dưỡng ở các cơ sở đào tạo, bồi dưỡng khác thì cơ quan, đơn vị thanh toán cho các cơ sở đào tạo, bồi dưỡng trên cơ sở hợp đồng ký kết giữa hai bên theo quy định của pháp luật về đấu thầu, đặt hàng, giao nhiệm vụ cung cấp sản phẩm dịch vụ sự nghiệp công sử dụng ngân sách nhà nước từ nguồn kinh phí chi thường xuyên. Trường hợp không đủ điều kiện hoặc không lựa chọn được đơn vị thực hiện dịch vụ thì cơ quan, đơn vị quyết định hỗ trợ trực tiếp cho công chức được cử đi học các khoản học phí, tiền mua giáo trình, tài liệu học tập bắt buộc và các khoản chi phí bắt buộc khác phải trả cho các cơ sở đào tạo, bồi dưỡng theo thông báo, hóa đơn, chứng từ của cơ sở đào tạo, bồi dưỡng.</w:t>
      </w:r>
    </w:p>
    <w:p>
      <w:pPr>
        <w:shd w:val="clear" w:color="auto" w:fill="FFFFFF"/>
        <w:spacing w:before="6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3.1.3. Nội dung và mức chi đào tạo, bồi dưỡng viên chức</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Căn cứ nguồn lực tài chính bố trí cho công tác đào tạo, bồi dưỡng viên chức tại đơn vị sự nghiệp công lập; căn cứ nội dung, mức chi đào tạo bồi dưỡng quy định tại Điều 4 Thông tư số 100/2025/TT-BTC và nội dung, mức chi đào tạo, bồi dưỡng đối với công chức quy định tại khoản 1,  2 điều này, thủ trưởng đơn vị sự nghiệp công lập quyết định mức chi đào tạo, bồi dưỡng đối với viên chức phù hợp với quy định của pháp luật về cơ chế tự chủ tài chính của đơn vị sự nghiệp công lập.</w:t>
      </w:r>
    </w:p>
    <w:p>
      <w:pPr>
        <w:spacing w:before="60"/>
        <w:ind w:right="-108"/>
        <w:rPr>
          <w:rFonts w:ascii="Times New Roman" w:hAnsi="Times New Roman" w:cs="Times New Roman"/>
          <w:b/>
          <w:sz w:val="28"/>
          <w:szCs w:val="28"/>
          <w:lang w:val="en-US"/>
        </w:rPr>
      </w:pPr>
      <w:r>
        <w:rPr>
          <w:rFonts w:ascii="Times New Roman" w:hAnsi="Times New Roman" w:cs="Times New Roman"/>
          <w:b/>
          <w:sz w:val="28"/>
          <w:szCs w:val="28"/>
          <w:lang w:val="en-US"/>
        </w:rPr>
        <w:t>3.2. Nguồn kinh phí</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Kinh phí đào tạo, bồi dưỡng công chức được đảm bảo từ nguồn ngân sách nhà nước bố trí trong dự toán chi thường xuyên của cơ quan, đơn vị sử dụng công chức theo quy định của pháp luật về ngân sách nhà nước; kinh phí của cơ quan quản lý, đơn vị sử dụng công chức; đóng góp của công chức; tài trợ của tổ chức, cá nhân trong và ngoài nước theo quy định của pháp luật.</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Kinh phí đào tạo, bồi dưỡng viên chức do viên chức đóng góp, nguồn tài chính của đơn vị sự nghiệp công lập và các nguồn khác bảo đảm theo quy định của pháp luật</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Đối với đơn vị sự nghiệp công lập tự bảo đảm một phần chi thường xuyên và đơn vị sự nghiệp công lập do ngân sách nhà nước bảo đảm chi thường xuyên được bố trí kinh phí từ dự toán ngân sách nhà nước được giao hằng năm, nguồn thu hoạt động sự nghiệp, nguồn thu khác (nếu có) và Quỹ phát triển hoạt động sự nghiệp của đơn vị theo quy định về cơ chế tự chủ tài chính của đơn vị sự nghiệp công lập;</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Đối với đơn vị sự nghiệp công lập tự bảo đảm chi thường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Trường hợp kinh phí đào tạo, bồi dưỡng công chức, viên chức theo các chương trình/đề án/dự án được cấp có thẩm quyền phê duyệt thì nguồn kinh phí thực hiện theo các chương trình/đề án/dự án đó.</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 Các cơ quan của Đảng cộng sản Việt Nam, Nhà nước, Mặt trận Tổ quốc Việt Nam, tổ chức chính trị - xã hội ở cấp tỉnh, Ủy ban nhân dân cấp xã, đơn vị sự nghiệp công lập chủ động bố trí kinh phí từ nguồn kinh phí chi thường xuyên và nguồn kinh phí khác để hỗ trợ cho công chức, viên chức là nữ, ưu tiên nữ khi tham gia đào tạo, bồi dưỡng mang theo con dưới ba mươi sáu tháng tuổi; công chức, viên chức là người dân tộc thiểu số được cử tham gia đào tạo, bồi dưỡng theo các chính sách, chế độ quy định của pháp luật về bình đẳng giới và công tác dân tộc.</w:t>
      </w:r>
    </w:p>
    <w:p>
      <w:pPr>
        <w:shd w:val="clear" w:color="auto" w:fill="FFFFFF"/>
        <w:spacing w:before="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 Kinh phí đào tạo, bồi dưỡng các đối tượng khác áp dụng Nghị quyết này do cá nhân, nguồn kinh phí hoạt động của cơ quan, đơn vị và các nguồn kinh phí hợp pháp khác bảo đảm theo quy định của pháp luật.</w:t>
      </w:r>
    </w:p>
    <w:p>
      <w:pPr>
        <w:pStyle w:val="BodyText"/>
        <w:spacing w:before="60"/>
        <w:ind w:firstLine="720"/>
        <w:rPr>
          <w:rFonts w:ascii="Times New Roman" w:eastAsiaTheme="minorHAnsi" w:hAnsi="Times New Roman"/>
          <w:b/>
          <w:szCs w:val="28"/>
          <w:lang w:val="en-US"/>
        </w:rPr>
      </w:pPr>
      <w:r>
        <w:rPr>
          <w:rFonts w:ascii="Times New Roman" w:eastAsiaTheme="minorHAnsi" w:hAnsi="Times New Roman"/>
          <w:b/>
          <w:szCs w:val="28"/>
          <w:lang w:val="en-US"/>
        </w:rPr>
        <w:t>3.3. Điều khoản áp dụng</w:t>
      </w:r>
    </w:p>
    <w:p>
      <w:pPr>
        <w:pStyle w:val="BodyText"/>
        <w:spacing w:before="60"/>
        <w:ind w:firstLine="720"/>
        <w:rPr>
          <w:rFonts w:ascii="Times New Roman" w:hAnsi="Times New Roman"/>
          <w:lang w:val="en-US"/>
        </w:rPr>
      </w:pPr>
      <w:r>
        <w:rPr>
          <w:rFonts w:ascii="Times New Roman" w:hAnsi="Times New Roman"/>
          <w:lang w:val="en-US"/>
        </w:rPr>
        <w:t>a) Các cơ quan, đơn vị tổ chức đào tạo, bồi dưỡng đối với đối tượng cán bộ; những người hoạt động không chuyên trách ở thôn, tổ dân phố theo quy định của cấp có thẩm quyền được áp dụng quy định tại Nghị quyết này.</w:t>
      </w:r>
    </w:p>
    <w:p>
      <w:pPr>
        <w:pStyle w:val="BodyText"/>
        <w:spacing w:before="60"/>
        <w:ind w:firstLine="720"/>
        <w:rPr>
          <w:rFonts w:ascii="Times New Roman" w:hAnsi="Times New Roman"/>
          <w:lang w:val="en-US"/>
        </w:rPr>
      </w:pPr>
      <w:r>
        <w:rPr>
          <w:rFonts w:ascii="Times New Roman" w:hAnsi="Times New Roman"/>
          <w:lang w:val="en-US"/>
        </w:rPr>
        <w:t>b) Đối với các lớp đào tạo, bồi dưỡng được tổ chức bằng nguồn kinh phí do các tổ chức, cá nhân tham gia đóng góp, tài trợ, thì khuyến khích thực hiện chế độ chi tiêu quy định tại Nghị quyết này nhằm đảm bảo tiết kiệm, hiệu quả. Trường hợp cần có mức chi cao hơn thì cơ quan, đơn vị làm nhiệm vụ đào tạo, bồi dưỡng quyết định phù với khả năng nguồn kinh phí của đơn vị.</w:t>
      </w:r>
    </w:p>
    <w:p>
      <w:pPr>
        <w:pStyle w:val="BodyText"/>
        <w:spacing w:before="60"/>
        <w:ind w:firstLine="720"/>
        <w:rPr>
          <w:rFonts w:ascii="Times New Roman" w:hAnsi="Times New Roman"/>
          <w:lang w:val="en-US"/>
        </w:rPr>
      </w:pPr>
      <w:r>
        <w:rPr>
          <w:rFonts w:ascii="Times New Roman" w:hAnsi="Times New Roman"/>
          <w:lang w:val="en-US"/>
        </w:rPr>
        <w:t>c) Các nhiệm vụ, chương trình/đề án/dự án có nội dung đào tạo, bồi dưỡng đối với các đối tượng khác không quy định tại Nghị quyết này thì được áp dụng nội dung, mức chi tại Nghị quyết này.</w:t>
      </w:r>
    </w:p>
    <w:p>
      <w:pPr>
        <w:spacing w:before="60"/>
        <w:rPr>
          <w:rFonts w:ascii="Times New Roman" w:hAnsi="Times New Roman" w:cs="Times New Roman"/>
          <w:b/>
          <w:sz w:val="28"/>
          <w:szCs w:val="28"/>
        </w:rPr>
      </w:pPr>
      <w:r>
        <w:rPr>
          <w:rFonts w:ascii="Times New Roman" w:hAnsi="Times New Roman" w:cs="Times New Roman"/>
          <w:b/>
          <w:sz w:val="28"/>
          <w:szCs w:val="28"/>
        </w:rPr>
        <w:t xml:space="preserve">V. DỰ KIẾN NGUỒN LỰC, ĐIỀU KIỆN BẢO ĐẢM CHO VIỆC THI HÀNH NGHỊ QUYẾT VÀ THỜI GIAN TRÌNH BAN HÀNH </w:t>
      </w:r>
    </w:p>
    <w:p>
      <w:pPr>
        <w:spacing w:before="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Nguồn lực, điều kiện đảm bảo </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Nguồn kinh phí thực hiện: Nguồn ngân sách nhà nước theo phân cấp</w:t>
      </w:r>
      <w:r>
        <w:rPr>
          <w:rFonts w:ascii="Times New Roman" w:eastAsia="Times New Roman" w:hAnsi="Times New Roman" w:cs="Times New Roman"/>
          <w:sz w:val="28"/>
          <w:szCs w:val="28"/>
          <w:lang w:val="en-US"/>
        </w:rPr>
        <w:t>; nguồn tài chính của đơn vị sự nghiệp công lập; đóng góp, tài trợ của tổ chức, cá nhân và</w:t>
      </w:r>
      <w:r>
        <w:rPr>
          <w:rFonts w:ascii="Times New Roman" w:eastAsia="Times New Roman" w:hAnsi="Times New Roman" w:cs="Times New Roman"/>
          <w:sz w:val="28"/>
          <w:szCs w:val="28"/>
        </w:rPr>
        <w:t xml:space="preserve"> và các nguồn </w:t>
      </w:r>
      <w:r>
        <w:rPr>
          <w:rFonts w:ascii="Times New Roman" w:eastAsia="Times New Roman" w:hAnsi="Times New Roman" w:cs="Times New Roman"/>
          <w:sz w:val="28"/>
          <w:szCs w:val="28"/>
          <w:lang w:val="en-US"/>
        </w:rPr>
        <w:t>khác bảo đảm theo quy định định của pháp luật</w:t>
      </w:r>
      <w:r>
        <w:rPr>
          <w:rFonts w:ascii="Times New Roman" w:eastAsia="Times New Roman" w:hAnsi="Times New Roman" w:cs="Times New Roman"/>
          <w:sz w:val="28"/>
          <w:szCs w:val="28"/>
        </w:rPr>
        <w:t>.</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Mức chi quy định tại dự thảo Nghị quyết được xây dựng trên cơ sở các quy định của Trung ương, kết hợp với việc khảo sát mặt bằng giá cả thực tế trên địa bàn tỉnh. Việc ban hành Nghị quyết nhằm chuẩn hóa các nội dung chi, tạo cơ sở pháp lý để quản lý, sử dụng ngân sách nhà nước đảm bảo minh bạch, tiết kiệm, hiệu quả, không làm phát sinh đột biến chi ngân sách địa phương.</w:t>
      </w:r>
    </w:p>
    <w:p>
      <w:pPr>
        <w:spacing w:before="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Dự kiến thời gian trình và ban hành </w:t>
      </w:r>
    </w:p>
    <w:p>
      <w:pPr>
        <w:spacing w:before="60"/>
        <w:rPr>
          <w:rFonts w:ascii="Times New Roman" w:hAnsi="Times New Roman" w:cs="Times New Roman"/>
          <w:sz w:val="28"/>
          <w:szCs w:val="28"/>
        </w:rPr>
      </w:pPr>
      <w:r>
        <w:rPr>
          <w:rFonts w:ascii="Times New Roman" w:eastAsia="Times New Roman" w:hAnsi="Times New Roman" w:cs="Times New Roman"/>
          <w:sz w:val="28"/>
          <w:szCs w:val="28"/>
        </w:rPr>
        <w:lastRenderedPageBreak/>
        <w:t>Dự thảo Nghị quyết của Hội đồng nhân dân tỉnh Quy định nội dung, mức chi cho công tác đào tạo, bồi dưỡng công chức, viên chức thuộc phạm vi quản lý của tỉnh Thanh Hóa dự kiến trình HĐND tỉnh tại Kỳ họp thứ</w:t>
      </w:r>
      <w:r>
        <w:rPr>
          <w:rFonts w:ascii="Times New Roman" w:hAnsi="Times New Roman" w:cs="Times New Roman"/>
          <w:sz w:val="28"/>
          <w:szCs w:val="28"/>
        </w:rPr>
        <w:t xml:space="preserve"> … HĐND tỉnh khóa XIX, nhiệm kỳ 2026 - 2030.</w:t>
      </w:r>
    </w:p>
    <w:p>
      <w:pPr>
        <w:shd w:val="clear" w:color="auto" w:fill="FFFFFF"/>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lang w:val="en-US"/>
        </w:rPr>
        <w:t>I</w:t>
      </w:r>
      <w:r>
        <w:rPr>
          <w:rFonts w:ascii="Times New Roman" w:eastAsia="Times New Roman" w:hAnsi="Times New Roman" w:cs="Times New Roman"/>
          <w:b/>
          <w:bCs/>
          <w:sz w:val="28"/>
          <w:szCs w:val="28"/>
        </w:rPr>
        <w:t>. TÓM TẮT Ý KIẾN THAM GIA CỦA CÁC ĐƠN VỊ LIÊN QUAN</w:t>
      </w:r>
    </w:p>
    <w:bookmarkEnd w:id="2"/>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Tóm tắt ý kiến của các sở, ban, ngành, đơn vị cấp tỉnh, các xã, phường</w:t>
      </w:r>
    </w:p>
    <w:p>
      <w:pPr>
        <w:spacing w:before="60"/>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Sở Tài chính đã lấy ý kiến các sở, ban, ngành, đơn vị cấp tỉnh, các xã, phường, và nhận được </w:t>
      </w:r>
      <w:r>
        <w:rPr>
          <w:rFonts w:ascii="Times New Roman" w:eastAsia="Times New Roman" w:hAnsi="Times New Roman" w:cs="Times New Roman"/>
          <w:spacing w:val="-2"/>
          <w:sz w:val="28"/>
          <w:szCs w:val="28"/>
        </w:rPr>
        <w:t>ý kiến tham gia của ... cơ quan, đơn vị, địa phương, trong đó có ...cơ quan, đơn vị, địa phương thống nhất, ... cơ quan, đơn vị, địa phương tham gia góp ý cụ thể. Các góp ý chủ yếu đề nghị về rà soát mức chi .. Sở Tài chính đã tiếp thu, giải trình các ý kiến tham gia, bảo đảm đúng quy định, thống nhất và khả thi, hoàn thiện dự thảo Nghị quyết, gửi Sở Tư pháp thẩm định.</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Tóm tắt ý kiến thẩm định của Sở Tư pháp</w:t>
      </w:r>
    </w:p>
    <w:p>
      <w:pPr>
        <w:spacing w:before="6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Tại Báo cáo thẩm định số .../BCTĐ-STP ngày .../.../2026, Sở Tư pháp có ý kiến dự thảo Nghị quyết đủ điều kiện trình HĐND tỉnh khi cơ quan chủ trì soạn thảo tiếp thu, giải trình, chỉnh sửa các ý kiến thẩm định. Sở Tài chính đã tiếp thu, giải trình các ý kiến tham gia; trên cơ sở đó, tham mưu Tờ trình số …/TTr-STC ngày  .../.../2026 đề nghị UBND tỉnh trình HĐND tỉnh xem xét, ban hành Nghị quyết.</w:t>
      </w:r>
    </w:p>
    <w:p>
      <w:pPr>
        <w:spacing w:before="60"/>
        <w:rPr>
          <w:rFonts w:ascii="Times New Roman" w:eastAsia="Times New Roman" w:hAnsi="Times New Roman" w:cs="Times New Roman"/>
          <w:b/>
          <w:bCs/>
          <w:sz w:val="26"/>
          <w:szCs w:val="26"/>
        </w:rPr>
      </w:pPr>
      <w:bookmarkStart w:id="3" w:name="_Hlk209963228"/>
      <w:r>
        <w:rPr>
          <w:rFonts w:ascii="Times New Roman" w:eastAsia="Times New Roman" w:hAnsi="Times New Roman" w:cs="Times New Roman"/>
          <w:b/>
          <w:bCs/>
          <w:sz w:val="26"/>
          <w:szCs w:val="26"/>
        </w:rPr>
        <w:t>VI</w:t>
      </w:r>
      <w:r>
        <w:rPr>
          <w:rFonts w:ascii="Times New Roman" w:eastAsia="Times New Roman" w:hAnsi="Times New Roman" w:cs="Times New Roman"/>
          <w:b/>
          <w:bCs/>
          <w:sz w:val="26"/>
          <w:szCs w:val="26"/>
          <w:lang w:val="en-US"/>
        </w:rPr>
        <w:t>I</w:t>
      </w:r>
      <w:r>
        <w:rPr>
          <w:rFonts w:ascii="Times New Roman" w:eastAsia="Times New Roman" w:hAnsi="Times New Roman" w:cs="Times New Roman"/>
          <w:b/>
          <w:bCs/>
          <w:sz w:val="26"/>
          <w:szCs w:val="26"/>
        </w:rPr>
        <w:t>. HỒ SƠ, TÀI LIỆU KÈM THEO</w:t>
      </w:r>
    </w:p>
    <w:bookmarkEnd w:id="3"/>
    <w:p>
      <w:pPr>
        <w:spacing w:before="60"/>
        <w:rPr>
          <w:rFonts w:ascii="Times New Roman" w:eastAsia="Times New Roman" w:hAnsi="Times New Roman" w:cs="Times New Roman"/>
          <w:spacing w:val="-6"/>
          <w:sz w:val="28"/>
          <w:szCs w:val="28"/>
        </w:rPr>
      </w:pPr>
      <w:r>
        <w:rPr>
          <w:rFonts w:ascii="Times New Roman" w:eastAsia="Times New Roman" w:hAnsi="Times New Roman" w:cs="Times New Roman"/>
          <w:b/>
          <w:spacing w:val="-6"/>
          <w:sz w:val="28"/>
          <w:szCs w:val="28"/>
        </w:rPr>
        <w:t>1.</w:t>
      </w:r>
      <w:r>
        <w:rPr>
          <w:rFonts w:ascii="Times New Roman" w:eastAsia="Times New Roman" w:hAnsi="Times New Roman" w:cs="Times New Roman"/>
          <w:spacing w:val="-6"/>
          <w:sz w:val="28"/>
          <w:szCs w:val="28"/>
        </w:rPr>
        <w:t xml:space="preserve"> Tờ </w:t>
      </w:r>
      <w:r>
        <w:rPr>
          <w:rFonts w:ascii="Times New Roman" w:eastAsia="Times New Roman" w:hAnsi="Times New Roman" w:cs="Times New Roman"/>
          <w:spacing w:val="-2"/>
          <w:sz w:val="28"/>
          <w:szCs w:val="28"/>
        </w:rPr>
        <w:t xml:space="preserve">trình số …/TTr-STC ngày … tháng ...năm 2026 của Sở Tài chính về việc đề nghị ban hành Nghị quyết của HĐND tỉnh về việc ban hành </w:t>
      </w:r>
      <w:r>
        <w:rPr>
          <w:rFonts w:ascii="Times New Roman" w:hAnsi="Times New Roman" w:cs="Times New Roman"/>
          <w:sz w:val="28"/>
          <w:szCs w:val="28"/>
        </w:rPr>
        <w:t>Quy định nội dung, mức chi cho công tác đào tạo, bồi dưỡng công chức, viên chức thuộc phạm vi quản lý của tỉnh Thanh Hóa</w:t>
      </w:r>
      <w:r>
        <w:rPr>
          <w:rFonts w:ascii="Times New Roman" w:hAnsi="Times New Roman" w:cs="Times New Roman"/>
          <w:sz w:val="28"/>
          <w:szCs w:val="28"/>
          <w:lang w:val="en-US"/>
        </w:rPr>
        <w:t xml:space="preserve"> </w:t>
      </w:r>
      <w:r>
        <w:rPr>
          <w:rFonts w:ascii="Times New Roman" w:eastAsia="Times New Roman" w:hAnsi="Times New Roman" w:cs="Times New Roman"/>
          <w:spacing w:val="-2"/>
          <w:sz w:val="28"/>
          <w:szCs w:val="28"/>
        </w:rPr>
        <w:t>(gửi kèm theo Báo cáo thẩm định số .../BCTĐ-STP ngày .../.../2026 của Sở Tư pháp;</w:t>
      </w:r>
      <w:r>
        <w:rPr>
          <w:rFonts w:ascii="Times New Roman" w:eastAsia="Times New Roman" w:hAnsi="Times New Roman" w:cs="Times New Roman"/>
          <w:spacing w:val="-6"/>
          <w:sz w:val="28"/>
          <w:szCs w:val="28"/>
        </w:rPr>
        <w:t xml:space="preserve"> bản tổng hợp tiếp thu, giải trình góp ý đối với dự thảo Nghị quyết).</w:t>
      </w:r>
    </w:p>
    <w:p>
      <w:pPr>
        <w:spacing w:before="6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Dự thảo Nghị quyết của </w:t>
      </w:r>
      <w:r>
        <w:rPr>
          <w:rFonts w:ascii="Times New Roman" w:eastAsia="Times New Roman" w:hAnsi="Times New Roman" w:cs="Times New Roman"/>
          <w:spacing w:val="-2"/>
          <w:sz w:val="28"/>
          <w:szCs w:val="28"/>
        </w:rPr>
        <w:t xml:space="preserve">HĐND </w:t>
      </w:r>
      <w:r>
        <w:rPr>
          <w:rFonts w:ascii="Times New Roman" w:eastAsia="Times New Roman" w:hAnsi="Times New Roman" w:cs="Times New Roman"/>
          <w:sz w:val="28"/>
          <w:szCs w:val="28"/>
        </w:rPr>
        <w:t xml:space="preserve">tỉnh về việc ban hành </w:t>
      </w:r>
      <w:r>
        <w:rPr>
          <w:rFonts w:ascii="Times New Roman" w:hAnsi="Times New Roman" w:cs="Times New Roman"/>
          <w:sz w:val="28"/>
          <w:szCs w:val="28"/>
        </w:rPr>
        <w:t>Quy định nội dung, mức chi cho công tác đào tạo, bồi dưỡng công chức, viên chức thuộc phạm vi quản lý của tỉnh Thanh Hóa.</w:t>
      </w:r>
    </w:p>
    <w:p>
      <w:pPr>
        <w:spacing w:before="60"/>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Các hồ sơ, tài liệu liên quan.</w:t>
      </w:r>
    </w:p>
    <w:p>
      <w:pPr>
        <w:spacing w:before="60"/>
        <w:rPr>
          <w:rFonts w:ascii="Times New Roman Bold" w:eastAsia="Times New Roman" w:hAnsi="Times New Roman Bold" w:cs="Times New Roman"/>
          <w:b/>
          <w:bCs/>
          <w:spacing w:val="-6"/>
          <w:sz w:val="28"/>
          <w:szCs w:val="28"/>
        </w:rPr>
      </w:pPr>
      <w:r>
        <w:rPr>
          <w:rFonts w:ascii="Times New Roman Bold" w:eastAsia="Times New Roman" w:hAnsi="Times New Roman Bold" w:cs="Times New Roman"/>
          <w:b/>
          <w:bCs/>
          <w:spacing w:val="-6"/>
          <w:sz w:val="28"/>
          <w:szCs w:val="28"/>
        </w:rPr>
        <w:t>VIII. KIẾN NGHỊ, ĐỀ XUẤT CỦA ỦY UBND TỈNH</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Tổng hợp ý kiến của UBND tỉnh</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thức cho ý kiến: Thảo luận, cho ý kiến tại Hội nghị UBND tỉnh tổ chức ngày .../.../2026. </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hợp kết quả: Toàn bộ các Thành viên UBND tỉnh tham dự hội nghị thống nhất với nội dung Sở Tài chính đề xuất để </w:t>
      </w:r>
      <w:r>
        <w:rPr>
          <w:rFonts w:ascii="Times New Roman" w:eastAsia="Times New Roman" w:hAnsi="Times New Roman" w:cs="Times New Roman"/>
          <w:sz w:val="28"/>
          <w:szCs w:val="28"/>
          <w:lang w:val="en-US"/>
        </w:rPr>
        <w:t xml:space="preserve">báo cáo </w:t>
      </w:r>
      <w:r>
        <w:rPr>
          <w:rFonts w:ascii="Times New Roman" w:eastAsia="Times New Roman" w:hAnsi="Times New Roman" w:cs="Times New Roman"/>
          <w:sz w:val="28"/>
          <w:szCs w:val="28"/>
        </w:rPr>
        <w:t xml:space="preserve">Ban Thường vụ Đảng ủy UBND tỉnh trình Ban Thường vụ Tỉnh ủy xem xét, cho ý kiến chỉ đạo. </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Kiến nghị, đề xuất</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UBND tỉnh kính trình HĐND tỉnh ban hành Nghị quyết </w:t>
      </w:r>
      <w:r>
        <w:rPr>
          <w:rFonts w:ascii="Times New Roman" w:hAnsi="Times New Roman" w:cs="Times New Roman"/>
          <w:sz w:val="28"/>
          <w:szCs w:val="28"/>
        </w:rPr>
        <w:t>Quy định nội dung, mức chi cho công tác đào tạo, bồi dưỡng công chức, viên chức thuộc phạm vi quản lý của tỉnh Thanh Hóa</w:t>
      </w:r>
      <w:r>
        <w:rPr>
          <w:rFonts w:ascii="Times New Roman" w:eastAsia="Times New Roman" w:hAnsi="Times New Roman" w:cs="Times New Roman"/>
          <w:sz w:val="28"/>
          <w:szCs w:val="28"/>
        </w:rPr>
        <w:t>, làm cơ sở để triển khai các bước tiếp theo đảm bảo theo đúng quy định hiện hành.</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UBND tỉnh chịu trách nhiệm trước </w:t>
      </w:r>
      <w:r>
        <w:rPr>
          <w:rFonts w:ascii="Times New Roman" w:hAnsi="Times New Roman" w:cs="Times New Roman"/>
          <w:sz w:val="28"/>
          <w:szCs w:val="28"/>
        </w:rPr>
        <w:t>pháp luật và</w:t>
      </w:r>
      <w:r>
        <w:rPr>
          <w:sz w:val="28"/>
          <w:szCs w:val="28"/>
        </w:rPr>
        <w:t xml:space="preserve"> </w:t>
      </w:r>
      <w:r>
        <w:rPr>
          <w:rFonts w:ascii="Times New Roman" w:eastAsia="Times New Roman" w:hAnsi="Times New Roman" w:cs="Times New Roman"/>
          <w:sz w:val="28"/>
          <w:szCs w:val="28"/>
        </w:rPr>
        <w:t>HĐND tỉnh về tính chính xác của thông tin, phù hợp của nội dung trình, đảm bảo đúng quy định hiện hành của pháp luật và phù hợp với thực tiễn; các số liệu, các căn cứ pháp lý được trích dẫn đầy đủ, đúng quy định.</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Kính </w:t>
      </w:r>
      <w:r>
        <w:rPr>
          <w:rFonts w:ascii="Times New Roman" w:eastAsia="Times New Roman" w:hAnsi="Times New Roman" w:cs="Times New Roman"/>
          <w:sz w:val="28"/>
          <w:szCs w:val="28"/>
        </w:rPr>
        <w:t>trình Hội đồng nhân dân tỉnh xem xét, quyết nghị./.</w:t>
      </w:r>
    </w:p>
    <w:p>
      <w:pPr>
        <w:spacing w:line="247" w:lineRule="auto"/>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421"/>
        <w:gridCol w:w="3793"/>
      </w:tblGrid>
      <w:tr>
        <w:tc>
          <w:tcPr>
            <w:tcW w:w="5421" w:type="dxa"/>
          </w:tcPr>
          <w:p>
            <w:pPr>
              <w:ind w:firstLine="0"/>
              <w:rPr>
                <w:rFonts w:ascii="Times New Roman" w:hAnsi="Times New Roman" w:cs="Times New Roman"/>
                <w:b/>
                <w:i/>
                <w:sz w:val="24"/>
                <w:szCs w:val="24"/>
              </w:rPr>
            </w:pPr>
            <w:r>
              <w:rPr>
                <w:rFonts w:ascii="Times New Roman" w:hAnsi="Times New Roman" w:cs="Times New Roman"/>
                <w:b/>
                <w:i/>
                <w:sz w:val="24"/>
                <w:szCs w:val="24"/>
              </w:rPr>
              <w:t>Nơi nhận:</w:t>
            </w:r>
          </w:p>
        </w:tc>
        <w:tc>
          <w:tcPr>
            <w:tcW w:w="3793" w:type="dxa"/>
          </w:tcPr>
          <w:p>
            <w:pPr>
              <w:ind w:firstLine="0"/>
              <w:jc w:val="center"/>
              <w:rPr>
                <w:rFonts w:ascii="Times New Roman" w:hAnsi="Times New Roman" w:cs="Times New Roman"/>
                <w:b/>
                <w:sz w:val="26"/>
                <w:szCs w:val="26"/>
              </w:rPr>
            </w:pPr>
            <w:r>
              <w:rPr>
                <w:rFonts w:ascii="Times New Roman" w:hAnsi="Times New Roman" w:cs="Times New Roman"/>
                <w:b/>
                <w:sz w:val="26"/>
                <w:szCs w:val="26"/>
              </w:rPr>
              <w:t>TM. ỦY BAN NHÂN DÂN</w:t>
            </w:r>
          </w:p>
        </w:tc>
      </w:tr>
      <w:tr>
        <w:tc>
          <w:tcPr>
            <w:tcW w:w="5421" w:type="dxa"/>
          </w:tcPr>
          <w:p>
            <w:pPr>
              <w:ind w:firstLine="0"/>
              <w:rPr>
                <w:rFonts w:ascii="Times New Roman" w:hAnsi="Times New Roman" w:cs="Times New Roman"/>
              </w:rPr>
            </w:pPr>
            <w:r>
              <w:rPr>
                <w:rFonts w:ascii="Times New Roman" w:hAnsi="Times New Roman" w:cs="Times New Roman"/>
              </w:rPr>
              <w:t>- Như trên;</w:t>
            </w:r>
          </w:p>
          <w:p>
            <w:pPr>
              <w:ind w:firstLine="0"/>
              <w:rPr>
                <w:rFonts w:ascii="Times New Roman" w:hAnsi="Times New Roman" w:cs="Times New Roman"/>
              </w:rPr>
            </w:pPr>
            <w:r>
              <w:rPr>
                <w:rFonts w:ascii="Times New Roman" w:hAnsi="Times New Roman" w:cs="Times New Roman"/>
              </w:rPr>
              <w:t>- Thường trực: Tỉnh ủy, HĐND tỉnh (để b/c);</w:t>
            </w:r>
          </w:p>
          <w:p>
            <w:pPr>
              <w:ind w:firstLine="0"/>
              <w:rPr>
                <w:rFonts w:ascii="Times New Roman" w:hAnsi="Times New Roman" w:cs="Times New Roman"/>
              </w:rPr>
            </w:pPr>
            <w:r>
              <w:rPr>
                <w:rFonts w:ascii="Times New Roman" w:hAnsi="Times New Roman" w:cs="Times New Roman"/>
              </w:rPr>
              <w:t>- Chủ tịch, các Phó Chủ tịch UBND tỉnh;</w:t>
            </w:r>
          </w:p>
          <w:p>
            <w:pPr>
              <w:ind w:firstLine="0"/>
              <w:rPr>
                <w:rFonts w:ascii="Times New Roman" w:hAnsi="Times New Roman" w:cs="Times New Roman"/>
              </w:rPr>
            </w:pPr>
            <w:r>
              <w:rPr>
                <w:rFonts w:ascii="Times New Roman" w:hAnsi="Times New Roman" w:cs="Times New Roman"/>
              </w:rPr>
              <w:t>- Các Ban HĐND tỉnh;</w:t>
            </w:r>
          </w:p>
          <w:p>
            <w:pPr>
              <w:ind w:firstLine="0"/>
              <w:rPr>
                <w:rFonts w:ascii="Times New Roman" w:hAnsi="Times New Roman" w:cs="Times New Roman"/>
              </w:rPr>
            </w:pPr>
            <w:r>
              <w:rPr>
                <w:rFonts w:ascii="Times New Roman" w:hAnsi="Times New Roman" w:cs="Times New Roman"/>
              </w:rPr>
              <w:t>- Các đại biểu HĐND tỉnh;</w:t>
            </w:r>
          </w:p>
          <w:p>
            <w:pPr>
              <w:ind w:firstLine="0"/>
              <w:rPr>
                <w:rFonts w:ascii="Times New Roman" w:hAnsi="Times New Roman" w:cs="Times New Roman"/>
              </w:rPr>
            </w:pPr>
            <w:r>
              <w:rPr>
                <w:rFonts w:ascii="Times New Roman" w:hAnsi="Times New Roman" w:cs="Times New Roman"/>
              </w:rPr>
              <w:t>- Các sở: Tài chính, Tư pháp;</w:t>
            </w:r>
          </w:p>
          <w:p>
            <w:pPr>
              <w:ind w:firstLine="0"/>
              <w:rPr>
                <w:rFonts w:ascii="Times New Roman" w:hAnsi="Times New Roman" w:cs="Times New Roman"/>
              </w:rPr>
            </w:pPr>
            <w:r>
              <w:rPr>
                <w:rFonts w:ascii="Times New Roman" w:hAnsi="Times New Roman" w:cs="Times New Roman"/>
              </w:rPr>
              <w:t>- Lưu: VT, KTTC, THĐT.</w:t>
            </w:r>
          </w:p>
        </w:tc>
        <w:tc>
          <w:tcPr>
            <w:tcW w:w="3793" w:type="dxa"/>
          </w:tcPr>
          <w:p>
            <w:pPr>
              <w:ind w:firstLine="0"/>
              <w:jc w:val="center"/>
              <w:rPr>
                <w:rFonts w:ascii="Times New Roman" w:hAnsi="Times New Roman" w:cs="Times New Roman"/>
                <w:b/>
                <w:sz w:val="26"/>
                <w:szCs w:val="26"/>
              </w:rPr>
            </w:pPr>
            <w:r>
              <w:rPr>
                <w:rFonts w:ascii="Times New Roman" w:hAnsi="Times New Roman" w:cs="Times New Roman"/>
                <w:b/>
                <w:sz w:val="26"/>
                <w:szCs w:val="26"/>
              </w:rPr>
              <w:t>CHỦ TỊCH</w:t>
            </w: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Nguyễn Hoài Anh</w:t>
            </w:r>
          </w:p>
        </w:tc>
      </w:tr>
    </w:tbl>
    <w:p>
      <w:pPr>
        <w:spacing w:before="120"/>
        <w:ind w:firstLine="0"/>
      </w:pPr>
      <w:bookmarkStart w:id="4" w:name="_GoBack"/>
      <w:bookmarkEnd w:id="4"/>
    </w:p>
    <w:sectPr>
      <w:headerReference w:type="even" r:id="rId8"/>
      <w:headerReference w:type="default" r:id="rId9"/>
      <w:footerReference w:type="even" r:id="rId10"/>
      <w:footerReference w:type="default" r:id="rId11"/>
      <w:headerReference w:type="first" r:id="rId12"/>
      <w:footerReference w:type="first" r:id="rId13"/>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4700868"/>
      <w:docPartObj>
        <w:docPartGallery w:val="Page Numbers (Top of Page)"/>
        <w:docPartUnique/>
      </w:docPartObj>
    </w:sdt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11</w:t>
        </w:r>
        <w:r>
          <w:rPr>
            <w:rFonts w:ascii="Times New Roman" w:hAnsi="Times New Roman" w:cs="Times New Roman"/>
            <w:sz w:val="28"/>
            <w:szCs w:val="28"/>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5"/>
    <w:lvlOverride w:ilvl="1">
      <w:lvl w:ilvl="1">
        <w:numFmt w:val="decimal"/>
        <w:lvlText w:val="%2."/>
        <w:lvlJc w:val="left"/>
      </w:lvl>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3421-45C2-4B21-B416-56FFF65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331B5882-025C-49DC-B484-E502361D1293}">
  <ds:schemaRefs>
    <ds:schemaRef ds:uri="http://schemas.openxmlformats.org/officeDocument/2006/bibliography"/>
  </ds:schemaRefs>
</ds:datastoreItem>
</file>

<file path=customXml/itemProps2.xml><?xml version="1.0" encoding="utf-8"?>
<ds:datastoreItem xmlns:ds="http://schemas.openxmlformats.org/officeDocument/2006/customXml" ds:itemID="{F16D7A4D-FEEF-4521-B421-B754C11B29DF}"/>
</file>

<file path=customXml/itemProps3.xml><?xml version="1.0" encoding="utf-8"?>
<ds:datastoreItem xmlns:ds="http://schemas.openxmlformats.org/officeDocument/2006/customXml" ds:itemID="{D4EFE93D-D40D-4382-BE7B-DB6A2E041326}"/>
</file>

<file path=customXml/itemProps4.xml><?xml version="1.0" encoding="utf-8"?>
<ds:datastoreItem xmlns:ds="http://schemas.openxmlformats.org/officeDocument/2006/customXml" ds:itemID="{F5A109FD-781F-4AA5-9B7D-8B00DDCEBC52}"/>
</file>

<file path=docProps/app.xml><?xml version="1.0" encoding="utf-8"?>
<Properties xmlns="http://schemas.openxmlformats.org/officeDocument/2006/extended-properties" xmlns:vt="http://schemas.openxmlformats.org/officeDocument/2006/docPropsVTypes">
  <Template>Normal</Template>
  <TotalTime>1594</TotalTime>
  <Pages>11</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Hoang Thi Thuy</cp:lastModifiedBy>
  <cp:revision>120</cp:revision>
  <cp:lastPrinted>2026-05-11T03:30:00Z</cp:lastPrinted>
  <dcterms:created xsi:type="dcterms:W3CDTF">2026-03-26T01:40:00Z</dcterms:created>
  <dcterms:modified xsi:type="dcterms:W3CDTF">2026-05-11T07:09:00Z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