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4" w:tblpY="1141"/>
        <w:tblW w:w="9390" w:type="dxa"/>
        <w:tblLook w:val="01E0" w:firstRow="1" w:lastRow="1" w:firstColumn="1" w:lastColumn="1" w:noHBand="0" w:noVBand="0"/>
      </w:tblPr>
      <w:tblGrid>
        <w:gridCol w:w="3369"/>
        <w:gridCol w:w="283"/>
        <w:gridCol w:w="5738"/>
      </w:tblGrid>
      <w:tr>
        <w:trPr>
          <w:trHeight w:val="709"/>
        </w:trPr>
        <w:tc>
          <w:tcPr>
            <w:tcW w:w="3369" w:type="dxa"/>
            <w:shd w:val="clear" w:color="auto" w:fill="auto"/>
          </w:tcPr>
          <w:p>
            <w:pPr>
              <w:keepNext/>
              <w:jc w:val="center"/>
              <w:rPr>
                <w:rFonts w:ascii="Times New Roman" w:hAnsi="Times New Roman" w:cs="Times New Roman"/>
                <w:b/>
                <w:sz w:val="26"/>
                <w:szCs w:val="26"/>
              </w:rPr>
            </w:pPr>
            <w:r>
              <w:rPr>
                <w:rFonts w:ascii="Times New Roman" w:hAnsi="Times New Roman" w:cs="Times New Roman"/>
                <w:b/>
                <w:sz w:val="26"/>
                <w:szCs w:val="26"/>
              </w:rPr>
              <w:t>ỦY BAN NHÂN DÂN</w:t>
            </w:r>
          </w:p>
          <w:p>
            <w:pPr>
              <w:keepNext/>
              <w:jc w:val="center"/>
              <w:rPr>
                <w:rFonts w:ascii="Times New Roman" w:hAnsi="Times New Roman" w:cs="Times New Roman"/>
                <w:sz w:val="26"/>
                <w:szCs w:val="26"/>
              </w:rPr>
            </w:pPr>
            <w:r>
              <w:rPr>
                <w:rFonts w:ascii="Times New Roman" w:hAnsi="Times New Roman" w:cs="Times New Roman"/>
                <w:b/>
                <w:sz w:val="26"/>
                <w:szCs w:val="26"/>
              </w:rPr>
              <mc:AlternateContent>
                <mc:Choice Requires="wps">
                  <w:drawing>
                    <wp:anchor distT="0" distB="0" distL="114300" distR="114300" simplePos="0" relativeHeight="251661312" behindDoc="0" locked="0" layoutInCell="1" allowOverlap="1">
                      <wp:simplePos x="0" y="0"/>
                      <wp:positionH relativeFrom="column">
                        <wp:posOffset>730250</wp:posOffset>
                      </wp:positionH>
                      <wp:positionV relativeFrom="paragraph">
                        <wp:posOffset>208280</wp:posOffset>
                      </wp:positionV>
                      <wp:extent cx="575945" cy="0"/>
                      <wp:effectExtent l="8890" t="7620" r="571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3" o:spid="_x0000_s1026" type="#_x0000_t32" style="position:absolute;margin-left:57.5pt;margin-top:16.4pt;width:45.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"/>
                  </w:pict>
                </mc:Fallback>
              </mc:AlternateContent>
            </w:r>
            <w:r>
              <w:rPr>
                <w:rFonts w:ascii="Times New Roman" w:hAnsi="Times New Roman" w:cs="Times New Roman"/>
                <w:b/>
                <w:sz w:val="26"/>
                <w:szCs w:val="26"/>
              </w:rPr>
              <w:t>TỈNH THANH HÓA</w:t>
            </w:r>
          </w:p>
        </w:tc>
        <w:tc>
          <w:tcPr>
            <w:tcW w:w="283" w:type="dxa"/>
            <w:shd w:val="clear" w:color="auto" w:fill="auto"/>
          </w:tcPr>
          <w:p>
            <w:pPr>
              <w:keepNext/>
              <w:jc w:val="center"/>
              <w:rPr>
                <w:rFonts w:ascii="Times New Roman" w:hAnsi="Times New Roman" w:cs="Times New Roman"/>
                <w:sz w:val="26"/>
                <w:szCs w:val="26"/>
              </w:rPr>
            </w:pPr>
          </w:p>
        </w:tc>
        <w:tc>
          <w:tcPr>
            <w:tcW w:w="5738" w:type="dxa"/>
            <w:shd w:val="clear" w:color="auto" w:fill="auto"/>
          </w:tcPr>
          <w:p>
            <w:pPr>
              <w:keepNext/>
              <w:ind w:left="-108"/>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keepNext/>
              <w:jc w:val="center"/>
              <w:rPr>
                <w:rFonts w:ascii="Times New Roman" w:hAnsi="Times New Roman" w:cs="Times New Roman"/>
                <w:b/>
                <w:sz w:val="28"/>
                <w:szCs w:val="28"/>
              </w:rPr>
            </w:pPr>
            <w:r>
              <w:rPr>
                <w:rFonts w:ascii="Times New Roman" w:hAnsi="Times New Roman" w:cs="Times New Roman"/>
                <w:b/>
                <w:i/>
                <w:sz w:val="28"/>
                <w:szCs w:val="28"/>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241300</wp:posOffset>
                      </wp:positionV>
                      <wp:extent cx="2195830" cy="0"/>
                      <wp:effectExtent l="11430"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9pt" to="2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qk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mM6f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"/>
                  </w:pict>
                </mc:Fallback>
              </mc:AlternateContent>
            </w:r>
            <w:r>
              <w:rPr>
                <w:rFonts w:ascii="Times New Roman" w:hAnsi="Times New Roman" w:cs="Times New Roman"/>
                <w:b/>
                <w:sz w:val="28"/>
                <w:szCs w:val="28"/>
              </w:rPr>
              <w:t xml:space="preserve">Độc lập - Tự do - Hạnh phúc </w:t>
            </w:r>
          </w:p>
          <w:p>
            <w:pPr>
              <w:keepNext/>
              <w:jc w:val="center"/>
              <w:rPr>
                <w:rFonts w:ascii="Times New Roman" w:hAnsi="Times New Roman" w:cs="Times New Roman"/>
                <w:b/>
                <w:sz w:val="28"/>
                <w:szCs w:val="28"/>
              </w:rPr>
            </w:pPr>
          </w:p>
        </w:tc>
      </w:tr>
      <w:tr>
        <w:trPr>
          <w:trHeight w:val="411"/>
        </w:trPr>
        <w:tc>
          <w:tcPr>
            <w:tcW w:w="3369" w:type="dxa"/>
            <w:shd w:val="clear" w:color="auto" w:fill="auto"/>
            <w:vAlign w:val="bottom"/>
          </w:tcPr>
          <w:p>
            <w:pPr>
              <w:keepNext/>
              <w:spacing w:before="60"/>
              <w:jc w:val="center"/>
              <w:rPr>
                <w:rFonts w:ascii="Times New Roman" w:hAnsi="Times New Roman" w:cs="Times New Roman"/>
                <w:sz w:val="26"/>
                <w:szCs w:val="26"/>
              </w:rPr>
            </w:pPr>
            <w:r>
              <w:rPr>
                <w:rFonts w:ascii="Times New Roman" w:hAnsi="Times New Roman" w:cs="Times New Roman"/>
                <w:sz w:val="26"/>
                <w:szCs w:val="26"/>
              </w:rPr>
              <w:t>Số:             /2024/QĐ-UBND</w:t>
            </w:r>
          </w:p>
        </w:tc>
        <w:tc>
          <w:tcPr>
            <w:tcW w:w="283" w:type="dxa"/>
            <w:shd w:val="clear" w:color="auto" w:fill="auto"/>
            <w:vAlign w:val="bottom"/>
          </w:tcPr>
          <w:p>
            <w:pPr>
              <w:keepNext/>
              <w:spacing w:before="60"/>
              <w:jc w:val="center"/>
              <w:rPr>
                <w:rFonts w:ascii="Times New Roman" w:hAnsi="Times New Roman" w:cs="Times New Roman"/>
                <w:sz w:val="26"/>
                <w:szCs w:val="26"/>
              </w:rPr>
            </w:pPr>
          </w:p>
        </w:tc>
        <w:tc>
          <w:tcPr>
            <w:tcW w:w="5738" w:type="dxa"/>
            <w:shd w:val="clear" w:color="auto" w:fill="auto"/>
            <w:vAlign w:val="bottom"/>
          </w:tcPr>
          <w:p>
            <w:pPr>
              <w:keepNext/>
              <w:spacing w:before="60"/>
              <w:jc w:val="right"/>
              <w:rPr>
                <w:rFonts w:ascii="Times New Roman" w:hAnsi="Times New Roman" w:cs="Times New Roman"/>
                <w:b/>
                <w:sz w:val="28"/>
                <w:szCs w:val="28"/>
              </w:rPr>
            </w:pPr>
            <w:r>
              <w:rPr>
                <w:rFonts w:ascii="Times New Roman" w:hAnsi="Times New Roman" w:cs="Times New Roman"/>
                <w:i/>
                <w:sz w:val="28"/>
                <w:szCs w:val="28"/>
              </w:rPr>
              <w:t>Thanh Hóa, ngày          tháng        năm 2025</w:t>
            </w:r>
          </w:p>
        </w:tc>
      </w:tr>
    </w:tbl>
    <w:p>
      <w:pPr>
        <w:keepNext/>
        <w:ind w:right="-1"/>
        <w:jc w:val="center"/>
        <w:rPr>
          <w:rFonts w:ascii="Times New Roman" w:eastAsia="Calibri" w:hAnsi="Times New Roman" w:cs="Times New Roman"/>
          <w:b/>
          <w:sz w:val="40"/>
          <w:szCs w:val="40"/>
        </w:rPr>
      </w:pPr>
    </w:p>
    <w:p>
      <w:pPr>
        <w:keepNext/>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QUYẾT ĐỊNH</w:t>
      </w:r>
    </w:p>
    <w:p>
      <w:pPr>
        <w:jc w:val="center"/>
        <w:rPr>
          <w:rFonts w:ascii="Times New Roman" w:hAnsi="Times New Roman" w:cs="Times New Roman"/>
          <w:b/>
          <w:bCs/>
          <w:sz w:val="28"/>
          <w:szCs w:val="28"/>
        </w:rPr>
      </w:pPr>
      <w:r>
        <w:rPr>
          <w:rFonts w:ascii="Times New Roman" w:hAnsi="Times New Roman" w:cs="Times New Roman"/>
          <w:b/>
          <w:bCs/>
          <w:sz w:val="28"/>
          <w:szCs w:val="28"/>
        </w:rPr>
        <w:t>Sửa đổi Điều 3</w:t>
      </w:r>
      <w:r>
        <w:rPr>
          <w:rFonts w:ascii="Times New Roman" w:hAnsi="Times New Roman" w:cs="Times New Roman"/>
          <w:sz w:val="28"/>
          <w:szCs w:val="28"/>
        </w:rPr>
        <w:t xml:space="preserve"> </w:t>
      </w:r>
      <w:r>
        <w:rPr>
          <w:rFonts w:ascii="Times New Roman" w:hAnsi="Times New Roman" w:cs="Times New Roman"/>
          <w:b/>
          <w:bCs/>
          <w:sz w:val="28"/>
          <w:szCs w:val="28"/>
        </w:rPr>
        <w:t xml:space="preserve">Quyết định số 82/2024/QĐ-UBND ngày 9/12/2024 </w:t>
      </w:r>
    </w:p>
    <w:p>
      <w:pPr>
        <w:jc w:val="center"/>
        <w:rPr>
          <w:rFonts w:ascii="Times New Roman" w:hAnsi="Times New Roman" w:cs="Times New Roman"/>
          <w:b/>
          <w:sz w:val="28"/>
          <w:szCs w:val="28"/>
        </w:rPr>
      </w:pPr>
      <w:r>
        <w:rPr>
          <w:rFonts w:ascii="Times New Roman" w:hAnsi="Times New Roman" w:cs="Times New Roman"/>
          <w:b/>
          <w:bCs/>
          <w:sz w:val="28"/>
          <w:szCs w:val="28"/>
        </w:rPr>
        <w:t xml:space="preserve">của UBND tỉnh và Quy định phân công, phân cấp </w:t>
      </w:r>
      <w:r>
        <w:rPr>
          <w:rFonts w:ascii="Times New Roman" w:hAnsi="Times New Roman" w:cs="Times New Roman"/>
          <w:b/>
          <w:sz w:val="28"/>
          <w:szCs w:val="28"/>
        </w:rPr>
        <w:t xml:space="preserve">thực hiện các nhiệm vụ </w:t>
      </w:r>
    </w:p>
    <w:p>
      <w:pPr>
        <w:jc w:val="center"/>
        <w:rPr>
          <w:rFonts w:ascii="Times New Roman" w:eastAsia="Calibri" w:hAnsi="Times New Roman" w:cs="Times New Roman"/>
          <w:b/>
          <w:szCs w:val="28"/>
        </w:rPr>
      </w:pPr>
      <w:r>
        <w:rPr>
          <w:rFonts w:ascii="Times New Roman Bold" w:hAnsi="Times New Roman Bold" w:cs="Times New Roman"/>
          <w:b/>
          <w:spacing w:val="-8"/>
          <w:sz w:val="28"/>
          <w:szCs w:val="28"/>
        </w:rPr>
        <w:t>quản lý nhà nước về giá, thẩm định giá</w:t>
      </w:r>
      <w:r>
        <w:rPr>
          <w:rFonts w:ascii="Times New Roman Bold" w:hAnsi="Times New Roman Bold" w:cs="Times New Roman"/>
          <w:b/>
          <w:bCs/>
          <w:spacing w:val="-8"/>
          <w:sz w:val="28"/>
          <w:szCs w:val="28"/>
        </w:rPr>
        <w:t xml:space="preserve"> thuộc phạm vi quản lý của tỉnh Thanh Hóa </w:t>
      </w:r>
      <w:r>
        <w:rPr>
          <w:rFonts w:ascii="Times New Roman" w:hAnsi="Times New Roman" w:cs="Times New Roman"/>
          <w:b/>
          <w:bCs/>
          <w:sz w:val="28"/>
          <w:szCs w:val="28"/>
        </w:rPr>
        <w:t xml:space="preserve">ban hành kèm theo Quyết định số 82/2024/QĐ-UBND ngày 9/12/2024 </w:t>
      </w:r>
    </w:p>
    <w:p>
      <w:pPr>
        <w:keepNext/>
        <w:ind w:right="-1"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1765631</wp:posOffset>
                </wp:positionH>
                <wp:positionV relativeFrom="paragraph">
                  <wp:posOffset>27940</wp:posOffset>
                </wp:positionV>
                <wp:extent cx="24841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Straight Arrow Connector 1" o:spid="_x0000_s1026" type="#_x0000_t32" style="position:absolute;margin-left:139.05pt;margin-top:2.2pt;width:19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" strokeweight=".25pt"/>
            </w:pict>
          </mc:Fallback>
        </mc:AlternateContent>
      </w:r>
    </w:p>
    <w:p>
      <w:pPr>
        <w:keepNext/>
        <w:ind w:right="-1"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t>ỦY BAN NHÂN DÂN TỈNH THANH HÓA</w:t>
      </w:r>
    </w:p>
    <w:p>
      <w:pPr>
        <w:keepNext/>
        <w:spacing w:before="120"/>
        <w:ind w:right="-1"/>
        <w:jc w:val="center"/>
        <w:rPr>
          <w:rFonts w:ascii="Times New Roman" w:eastAsia="Calibri" w:hAnsi="Times New Roman" w:cs="Times New Roman"/>
          <w:b/>
          <w:sz w:val="12"/>
          <w:szCs w:val="28"/>
        </w:rPr>
      </w:pPr>
    </w:p>
    <w:p>
      <w:pPr>
        <w:ind w:firstLine="720"/>
        <w:jc w:val="both"/>
        <w:rPr>
          <w:rFonts w:ascii="Times New Roman" w:eastAsia="Calibri" w:hAnsi="Times New Roman" w:cs="Times New Roman"/>
          <w:i/>
          <w:color w:val="FF0000"/>
          <w:sz w:val="28"/>
          <w:szCs w:val="28"/>
        </w:rPr>
      </w:pPr>
      <w:r>
        <w:rPr>
          <w:rFonts w:ascii="Times New Roman" w:eastAsia="Calibri" w:hAnsi="Times New Roman" w:cs="Times New Roman"/>
          <w:i/>
          <w:color w:val="FF0000"/>
          <w:sz w:val="28"/>
          <w:szCs w:val="28"/>
        </w:rPr>
        <w:t>Căn cứ Luật Tổ chức chính quyề</w:t>
      </w:r>
      <w:bookmarkStart w:id="0" w:name="_GoBack"/>
      <w:bookmarkEnd w:id="0"/>
      <w:r>
        <w:rPr>
          <w:rFonts w:ascii="Times New Roman" w:eastAsia="Calibri" w:hAnsi="Times New Roman" w:cs="Times New Roman"/>
          <w:i/>
          <w:color w:val="FF0000"/>
          <w:sz w:val="28"/>
          <w:szCs w:val="28"/>
        </w:rPr>
        <w:t>n địa phương số 72/2025/QH15;</w:t>
      </w:r>
    </w:p>
    <w:p>
      <w:pPr>
        <w:ind w:firstLine="720"/>
        <w:jc w:val="both"/>
        <w:rPr>
          <w:rFonts w:ascii="Times New Roman" w:eastAsia="Calibri" w:hAnsi="Times New Roman" w:cs="Times New Roman"/>
          <w:i/>
          <w:color w:val="FF0000"/>
          <w:sz w:val="28"/>
          <w:szCs w:val="28"/>
        </w:rPr>
      </w:pPr>
      <w:r>
        <w:rPr>
          <w:rFonts w:ascii="Times New Roman" w:eastAsia="Calibri" w:hAnsi="Times New Roman" w:cs="Times New Roman"/>
          <w:i/>
          <w:color w:val="FF0000"/>
          <w:sz w:val="28"/>
          <w:szCs w:val="28"/>
        </w:rPr>
        <w:t>Căn cứ Luật Ban hành văn bản quy phạm pháp luật số 64/2025/QH15;</w:t>
      </w:r>
    </w:p>
    <w:p>
      <w:pPr>
        <w:ind w:firstLine="720"/>
        <w:jc w:val="both"/>
        <w:rPr>
          <w:rFonts w:ascii="Times New Roman" w:eastAsia="Calibri" w:hAnsi="Times New Roman" w:cs="Times New Roman"/>
          <w:i/>
          <w:color w:val="FF0000"/>
          <w:sz w:val="28"/>
          <w:szCs w:val="28"/>
        </w:rPr>
      </w:pPr>
      <w:r>
        <w:rPr>
          <w:rFonts w:ascii="Times New Roman" w:eastAsia="Calibri" w:hAnsi="Times New Roman" w:cs="Times New Roman"/>
          <w:i/>
          <w:color w:val="FF0000"/>
          <w:sz w:val="28"/>
          <w:szCs w:val="28"/>
        </w:rPr>
        <w:t>Căn cứ Luật Giá số 16/2020/QH15;</w:t>
      </w:r>
    </w:p>
    <w:p>
      <w:pPr>
        <w:ind w:firstLine="720"/>
        <w:jc w:val="both"/>
        <w:rPr>
          <w:rFonts w:ascii="Times New Roman" w:eastAsia="Calibri" w:hAnsi="Times New Roman" w:cs="Times New Roman"/>
          <w:i/>
          <w:color w:val="FF0000"/>
          <w:sz w:val="28"/>
          <w:szCs w:val="28"/>
        </w:rPr>
      </w:pPr>
      <w:r>
        <w:rPr>
          <w:rFonts w:ascii="Times New Roman" w:eastAsia="Calibri" w:hAnsi="Times New Roman" w:cs="Times New Roman"/>
          <w:i/>
          <w:color w:val="FF0000"/>
          <w:sz w:val="28"/>
          <w:szCs w:val="28"/>
        </w:rPr>
        <w:t>Căn cứ Nghị quyết số 1686/NQ-UBTVQH15 ngày 16/6/2025 của Ủy ban Thường vụ Quốc hội về việc sắp xếp các đơn vị hành chính cấp xã của tỉnh Thanh Hóa năm 2025;</w:t>
      </w:r>
    </w:p>
    <w:p>
      <w:pPr>
        <w:pStyle w:val="NormalWeb"/>
        <w:shd w:val="clear" w:color="auto" w:fill="FFFFFF"/>
        <w:spacing w:before="0" w:beforeAutospacing="0" w:after="0" w:afterAutospacing="0"/>
        <w:ind w:firstLine="720"/>
        <w:jc w:val="both"/>
        <w:rPr>
          <w:rFonts w:ascii="Times New Roman" w:hAnsi="Times New Roman" w:cs="Times New Roman"/>
          <w:i/>
          <w:iCs/>
          <w:sz w:val="28"/>
          <w:szCs w:val="28"/>
        </w:rPr>
      </w:pPr>
      <w:r>
        <w:rPr>
          <w:rFonts w:ascii="Times New Roman" w:hAnsi="Times New Roman" w:cs="Times New Roman"/>
          <w:i/>
          <w:sz w:val="28"/>
          <w:szCs w:val="28"/>
        </w:rPr>
        <w:t xml:space="preserve">Căn cứ Nghị định số </w:t>
      </w:r>
      <w:r>
        <w:rPr>
          <w:rFonts w:ascii="Times New Roman" w:hAnsi="Times New Roman" w:cs="Times New Roman"/>
          <w:i/>
          <w:iCs/>
          <w:sz w:val="28"/>
          <w:szCs w:val="28"/>
        </w:rPr>
        <w:t>85/2024/NĐ-CP ngày 10 tháng 7 năm 2024 của Chính phủ quy định chi tiết một số điều của </w:t>
      </w:r>
      <w:bookmarkStart w:id="1" w:name="tvpllink_pdhckaexos_1"/>
      <w:r>
        <w:rPr>
          <w:rFonts w:ascii="Times New Roman" w:hAnsi="Times New Roman" w:cs="Times New Roman"/>
          <w:i/>
          <w:iCs/>
          <w:sz w:val="28"/>
          <w:szCs w:val="28"/>
        </w:rPr>
        <w:fldChar w:fldCharType="begin"/>
      </w:r>
      <w:r>
        <w:rPr>
          <w:rFonts w:ascii="Times New Roman" w:hAnsi="Times New Roman" w:cs="Times New Roman"/>
          <w:i/>
          <w:iCs/>
          <w:sz w:val="28"/>
          <w:szCs w:val="28"/>
        </w:rPr>
        <w:instrText xml:space="preserve"> HYPERLINK "https://thuvienphapluat.vn/van-ban/Tai-chinh-nha-nuoc/Luat-Gia-2023-16-2023-QH15-519324.aspx" \t "_blank" </w:instrText>
      </w:r>
      <w:r>
        <w:rPr>
          <w:rFonts w:ascii="Times New Roman" w:hAnsi="Times New Roman" w:cs="Times New Roman"/>
          <w:i/>
          <w:iCs/>
          <w:sz w:val="28"/>
          <w:szCs w:val="28"/>
        </w:rPr>
        <w:fldChar w:fldCharType="separate"/>
      </w:r>
      <w:r>
        <w:rPr>
          <w:rFonts w:ascii="Times New Roman" w:hAnsi="Times New Roman" w:cs="Times New Roman"/>
          <w:i/>
          <w:sz w:val="28"/>
          <w:szCs w:val="28"/>
        </w:rPr>
        <w:t>Luật Giá</w:t>
      </w:r>
      <w:r>
        <w:rPr>
          <w:rFonts w:ascii="Times New Roman" w:hAnsi="Times New Roman" w:cs="Times New Roman"/>
          <w:i/>
          <w:iCs/>
          <w:sz w:val="28"/>
          <w:szCs w:val="28"/>
        </w:rPr>
        <w:fldChar w:fldCharType="end"/>
      </w:r>
      <w:bookmarkEnd w:id="1"/>
      <w:r>
        <w:rPr>
          <w:rFonts w:ascii="Times New Roman" w:hAnsi="Times New Roman" w:cs="Times New Roman"/>
          <w:i/>
          <w:iCs/>
          <w:sz w:val="28"/>
          <w:szCs w:val="28"/>
        </w:rPr>
        <w:t>;</w:t>
      </w:r>
    </w:p>
    <w:p>
      <w:pPr>
        <w:pStyle w:val="NormalWeb"/>
        <w:shd w:val="clear" w:color="auto" w:fill="FFFFFF"/>
        <w:spacing w:before="0" w:beforeAutospacing="0" w:after="0" w:afterAutospacing="0"/>
        <w:ind w:firstLine="720"/>
        <w:jc w:val="both"/>
        <w:rPr>
          <w:rFonts w:ascii="Times New Roman" w:hAnsi="Times New Roman" w:cs="Times New Roman"/>
          <w:i/>
          <w:sz w:val="28"/>
          <w:szCs w:val="28"/>
        </w:rPr>
      </w:pPr>
      <w:r>
        <w:rPr>
          <w:rFonts w:ascii="Times New Roman" w:hAnsi="Times New Roman" w:cs="Times New Roman"/>
          <w:i/>
          <w:sz w:val="28"/>
          <w:szCs w:val="28"/>
        </w:rPr>
        <w:t>Căn cứ Nghị định số 125/2025/NĐ-CP ngày 11/6/2025 của Chính phủ Quy định về phân định thẩm quyền của chính quyền địa phương 02 cấp trong lĩnh vực quản lý nhà nước của Bộ Tài chính</w:t>
      </w:r>
    </w:p>
    <w:p>
      <w:pPr>
        <w:pStyle w:val="NormalWeb"/>
        <w:shd w:val="clear" w:color="auto" w:fill="FFFFFF"/>
        <w:spacing w:before="0" w:beforeAutospacing="0" w:after="0" w:afterAutospacing="0"/>
        <w:ind w:firstLine="720"/>
        <w:jc w:val="both"/>
        <w:rPr>
          <w:rFonts w:ascii="Times New Roman" w:hAnsi="Times New Roman" w:cs="Times New Roman"/>
          <w:i/>
          <w:iCs/>
          <w:sz w:val="28"/>
          <w:szCs w:val="28"/>
        </w:rPr>
      </w:pPr>
      <w:r>
        <w:rPr>
          <w:rFonts w:ascii="Times New Roman" w:hAnsi="Times New Roman" w:cs="Times New Roman"/>
          <w:i/>
          <w:iCs/>
          <w:sz w:val="28"/>
          <w:szCs w:val="28"/>
        </w:rPr>
        <w:t>Căn cứ Thông tư số 28/2024/TT-BTC ngày 16 tháng 5 năm 2024 của Bộ trưởng Bộ Tài chính quy định về trình tự, thủ tục kiểm tra việc chấp hành pháp luật về giá, thẩm định giá;</w:t>
      </w:r>
    </w:p>
    <w:p>
      <w:pPr>
        <w:pStyle w:val="NormalWeb"/>
        <w:shd w:val="clear" w:color="auto" w:fill="FFFFFF"/>
        <w:spacing w:before="0" w:beforeAutospacing="0" w:after="0" w:afterAutospacing="0"/>
        <w:ind w:firstLine="720"/>
        <w:jc w:val="both"/>
        <w:rPr>
          <w:rFonts w:ascii="Times New Roman" w:hAnsi="Times New Roman" w:cs="Times New Roman"/>
          <w:i/>
          <w:iCs/>
          <w:sz w:val="28"/>
          <w:szCs w:val="28"/>
        </w:rPr>
      </w:pPr>
      <w:r>
        <w:rPr>
          <w:rFonts w:ascii="Times New Roman" w:hAnsi="Times New Roman" w:cs="Times New Roman"/>
          <w:i/>
          <w:iCs/>
          <w:sz w:val="28"/>
          <w:szCs w:val="28"/>
        </w:rPr>
        <w:t>Căn cứ Thông tư số 29/2024/TT-BTC ngày 16 tháng 5 năm 2024 của Bộ trưởng Bộ Tài chính quy định công tác tổng hợp, phân tích, dự báo giá thị trường;</w:t>
      </w:r>
    </w:p>
    <w:p>
      <w:pPr>
        <w:pStyle w:val="NormalWeb"/>
        <w:shd w:val="clear" w:color="auto" w:fill="FFFFFF"/>
        <w:spacing w:before="0" w:beforeAutospacing="0" w:after="0" w:afterAutospacing="0"/>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Căn cứ Nghị quyết số 618/NQ-HĐND ngày 26 tháng 02 năm 2025 của Hội đồng nhân dân tỉnh về sắp xếp tổ chức các cơ quan chuyên môn thuộc Ủy ban nhân dân tỉnh Thanh Hóa; </w:t>
      </w:r>
    </w:p>
    <w:p>
      <w:pPr>
        <w:ind w:firstLine="720"/>
        <w:jc w:val="both"/>
        <w:rPr>
          <w:rFonts w:ascii="Times New Roman" w:hAnsi="Times New Roman" w:cs="Times New Roman"/>
          <w:i/>
          <w:sz w:val="28"/>
          <w:szCs w:val="28"/>
        </w:rPr>
      </w:pPr>
      <w:r>
        <w:rPr>
          <w:rFonts w:ascii="Times New Roman" w:hAnsi="Times New Roman" w:cs="Times New Roman"/>
          <w:i/>
          <w:sz w:val="28"/>
          <w:szCs w:val="28"/>
        </w:rPr>
        <w:t>Theo đề nghị của Giám đốc Sở Tài chính tại Tờ trình số       /TTr-STC ngày  tháng     năm 2025</w:t>
      </w:r>
    </w:p>
    <w:p>
      <w:pPr>
        <w:ind w:right="176" w:firstLine="720"/>
        <w:jc w:val="both"/>
        <w:rPr>
          <w:rFonts w:ascii="Times New Roman" w:hAnsi="Times New Roman" w:cs="Times New Roman"/>
          <w:bCs/>
          <w:i/>
          <w:sz w:val="2"/>
          <w:szCs w:val="28"/>
        </w:rPr>
      </w:pPr>
      <w:r>
        <w:rPr>
          <w:rFonts w:ascii="Times New Roman" w:hAnsi="Times New Roman" w:cs="Times New Roman"/>
          <w:bCs/>
          <w:i/>
          <w:spacing w:val="-4"/>
          <w:sz w:val="28"/>
          <w:szCs w:val="28"/>
        </w:rPr>
        <w:t xml:space="preserve"> </w:t>
      </w:r>
    </w:p>
    <w:p>
      <w:pPr>
        <w:widowControl w:val="0"/>
        <w:spacing w:before="120"/>
        <w:jc w:val="center"/>
        <w:rPr>
          <w:rFonts w:ascii="Times New Roman" w:eastAsia="Calibri" w:hAnsi="Times New Roman" w:cs="Times New Roman"/>
          <w:b/>
          <w:spacing w:val="-2"/>
          <w:sz w:val="2"/>
          <w:szCs w:val="28"/>
        </w:rPr>
      </w:pPr>
    </w:p>
    <w:p>
      <w:pPr>
        <w:widowControl w:val="0"/>
        <w:spacing w:before="120"/>
        <w:jc w:val="center"/>
        <w:rPr>
          <w:rFonts w:ascii="Times New Roman" w:eastAsia="Calibri" w:hAnsi="Times New Roman" w:cs="Times New Roman"/>
          <w:b/>
          <w:sz w:val="34"/>
          <w:szCs w:val="28"/>
        </w:rPr>
      </w:pPr>
      <w:r>
        <w:rPr>
          <w:rFonts w:ascii="Times New Roman" w:eastAsia="Calibri" w:hAnsi="Times New Roman" w:cs="Times New Roman"/>
          <w:b/>
          <w:sz w:val="28"/>
          <w:szCs w:val="28"/>
        </w:rPr>
        <w:t>QUYẾT ĐỊNH:</w:t>
      </w:r>
    </w:p>
    <w:p>
      <w:pPr>
        <w:spacing w:before="120"/>
        <w:ind w:firstLine="720"/>
        <w:jc w:val="center"/>
        <w:rPr>
          <w:rFonts w:ascii="Times New Roman" w:eastAsia="Calibri" w:hAnsi="Times New Roman" w:cs="Times New Roman"/>
          <w:b/>
          <w:sz w:val="10"/>
          <w:szCs w:val="28"/>
        </w:rPr>
      </w:pPr>
    </w:p>
    <w:p>
      <w:pPr>
        <w:spacing w:before="120"/>
        <w:ind w:firstLine="709"/>
        <w:jc w:val="both"/>
        <w:rPr>
          <w:rFonts w:ascii="Times New Roman" w:hAnsi="Times New Roman" w:cs="Times New Roman"/>
          <w:sz w:val="28"/>
          <w:szCs w:val="28"/>
        </w:rPr>
      </w:pPr>
      <w:r>
        <w:rPr>
          <w:rFonts w:ascii="Times New Roman" w:hAnsi="Times New Roman" w:cs="Times New Roman"/>
          <w:b/>
          <w:sz w:val="28"/>
          <w:szCs w:val="28"/>
        </w:rPr>
        <w:t>Điều 1.</w:t>
      </w:r>
      <w:r>
        <w:rPr>
          <w:rFonts w:ascii="Times New Roman" w:hAnsi="Times New Roman" w:cs="Times New Roman"/>
          <w:sz w:val="28"/>
          <w:szCs w:val="28"/>
        </w:rPr>
        <w:t xml:space="preserve"> Sửa đổi </w:t>
      </w:r>
      <w:r>
        <w:rPr>
          <w:rFonts w:ascii="Times New Roman" w:hAnsi="Times New Roman" w:cs="Times New Roman"/>
          <w:color w:val="FF0000"/>
          <w:sz w:val="28"/>
          <w:szCs w:val="28"/>
        </w:rPr>
        <w:t xml:space="preserve">Điều 3 </w:t>
      </w:r>
      <w:r>
        <w:rPr>
          <w:rFonts w:ascii="Times New Roman" w:hAnsi="Times New Roman" w:cs="Times New Roman"/>
          <w:sz w:val="28"/>
          <w:szCs w:val="28"/>
        </w:rPr>
        <w:t>Quyết định số 82/2024/QĐ-UBND ngày 9/12/2024 của UBND tỉnh như sau:</w:t>
      </w:r>
    </w:p>
    <w:p>
      <w:pPr>
        <w:spacing w:before="120"/>
        <w:ind w:firstLine="709"/>
        <w:jc w:val="both"/>
        <w:rPr>
          <w:rFonts w:ascii="Times New Roman" w:hAnsi="Times New Roman" w:cs="Times New Roman"/>
          <w:sz w:val="28"/>
          <w:szCs w:val="28"/>
        </w:rPr>
      </w:pPr>
      <w:bookmarkStart w:id="2" w:name="dieu_3"/>
      <w:r>
        <w:rPr>
          <w:rFonts w:ascii="Times New Roman" w:hAnsi="Times New Roman" w:cs="Times New Roman"/>
          <w:sz w:val="28"/>
          <w:szCs w:val="28"/>
        </w:rPr>
        <w:t>Chánh Văn phòng Ủy ban nhân dân tỉnh; Giám đốc các sở, Trưởng các ban, ngành, đơn vị cấp tỉnh; Chủ tịch Ủy ban nhân dân các xã, phường; các tổ chức, đơn vị và cá nhân có liên quan chịu trách nhiệm thi hành Quyết định nà</w:t>
      </w:r>
      <w:bookmarkEnd w:id="2"/>
      <w:r>
        <w:rPr>
          <w:rFonts w:ascii="Times New Roman" w:hAnsi="Times New Roman" w:cs="Times New Roman"/>
          <w:sz w:val="28"/>
          <w:szCs w:val="28"/>
        </w:rPr>
        <w:t>y.</w:t>
      </w:r>
    </w:p>
    <w:p>
      <w:pPr>
        <w:spacing w:before="120"/>
        <w:ind w:firstLine="709"/>
        <w:jc w:val="both"/>
        <w:rPr>
          <w:rFonts w:ascii="Times New Roman" w:hAnsi="Times New Roman" w:cs="Times New Roman"/>
          <w:sz w:val="28"/>
          <w:szCs w:val="28"/>
        </w:rPr>
      </w:pPr>
      <w:r>
        <w:rPr>
          <w:rFonts w:ascii="Times New Roman" w:hAnsi="Times New Roman" w:cs="Times New Roman"/>
          <w:b/>
          <w:sz w:val="28"/>
          <w:szCs w:val="28"/>
        </w:rPr>
        <w:lastRenderedPageBreak/>
        <w:t>Điều 2.</w:t>
      </w:r>
      <w:r>
        <w:rPr>
          <w:rFonts w:ascii="Times New Roman" w:hAnsi="Times New Roman" w:cs="Times New Roman"/>
          <w:sz w:val="28"/>
          <w:szCs w:val="28"/>
        </w:rPr>
        <w:t xml:space="preserve"> Sửa đổi, bổ sung một số điểm tại Quy định phân công, phân cấp thực hiện các nhiệm vụ quản lý nhà nước về giá, thẩm định giá thuộc phạm vi quản lý của tỉnh Thanh Hóa ban hành kèm theo Quyết định số 82/2024/QĐ-UBND ngày 9/12/2024 của UBND tỉnh</w:t>
      </w:r>
    </w:p>
    <w:p>
      <w:pPr>
        <w:spacing w:before="120"/>
        <w:ind w:firstLine="709"/>
        <w:jc w:val="both"/>
        <w:rPr>
          <w:rFonts w:ascii="Times New Roman" w:hAnsi="Times New Roman" w:cs="Times New Roman"/>
          <w:sz w:val="28"/>
          <w:szCs w:val="28"/>
        </w:rPr>
      </w:pPr>
      <w:r>
        <w:rPr>
          <w:rFonts w:ascii="Times New Roman" w:hAnsi="Times New Roman" w:cs="Times New Roman"/>
          <w:sz w:val="28"/>
          <w:szCs w:val="28"/>
        </w:rPr>
        <w:t>1. Thay thế cụm từ “Ủy ban nhân dân cấp huyện” thành “Ủy ban nhân dân xã, phường”tại Khoản 3 Điều 3; Khoản 2, Khoản 4, Khoản 5 Điều 4; Khoản 2, Khoản 3 Điều 9; Khoản 3 Điều 12; Khoản 3 Điều 13; Khoản 2 Điều 14; Phụ lục I, Phụ lục II quy định phân công, phân cấp thực hiện các nhiệm vụ quản lý nhà nước về giá, thẩm định giá thuộc phạm vi quản lý của tỉnh Thanh Hóa ban hành kèm theo Quyết định số 82/2024/QĐ-UBND ngày 9/12/2024 của UBNND tỉnh.</w:t>
      </w:r>
    </w:p>
    <w:p>
      <w:pPr>
        <w:spacing w:before="120"/>
        <w:ind w:firstLine="709"/>
        <w:jc w:val="both"/>
        <w:rPr>
          <w:rFonts w:ascii="Times New Roman" w:hAnsi="Times New Roman" w:cs="Times New Roman"/>
          <w:sz w:val="28"/>
          <w:szCs w:val="28"/>
        </w:rPr>
      </w:pPr>
      <w:r>
        <w:rPr>
          <w:rFonts w:ascii="Times New Roman" w:hAnsi="Times New Roman" w:cs="Times New Roman"/>
          <w:sz w:val="28"/>
          <w:szCs w:val="28"/>
        </w:rPr>
        <w:t>3. Thay thế cụm từ  “Ủy ban nhân dân các huyện, thị xã, thành phố” thành “Ủy ban nhân dân xã, phường” tại điểm i Khoản 2 Điều 8; Khoản 2 Điều 16 quy định phân công, phân cấp thực hiện các nhiệm vụ quản lý nhà nước về giá, thẩm định giá thuộc phạm vi quản lý của tỉnh Thanh Hóa ban hành kèm theo Quyết định số 82/2024/QĐ-UBND ngày 9/12/2024 của UBNND tỉnh.</w:t>
      </w:r>
    </w:p>
    <w:p>
      <w:pPr>
        <w:spacing w:before="120"/>
        <w:ind w:firstLine="709"/>
        <w:jc w:val="both"/>
        <w:rPr>
          <w:rFonts w:ascii="Times New Roman" w:hAnsi="Times New Roman" w:cs="Times New Roman"/>
          <w:sz w:val="28"/>
          <w:szCs w:val="28"/>
        </w:rPr>
      </w:pPr>
      <w:r>
        <w:rPr>
          <w:rFonts w:ascii="Times New Roman" w:hAnsi="Times New Roman" w:cs="Times New Roman"/>
          <w:sz w:val="28"/>
          <w:szCs w:val="28"/>
        </w:rPr>
        <w:t>4. Thay thế cụm từ  “Sở Nông nghiệp và Phát triển nông thôn” thành “Sở Nông nghiệp và Môi trường” tại gạch đầu thứ nhất điểm a khoản 1 Điều 3; điểm a, Khoản 2 Điều 8; Phụ lục I, Phụ lục II  quy định phân công, phân cấp thực hiện các nhiệm vụ quản lý nhà nước về giá, thẩm định giá thuộc phạm vi quản lý của tỉnh Thanh Hóa ban hành kèm theo Quyết định số 82/2024/QĐ-UBND ngày 9/12/2024 của UBNND tỉnh.</w:t>
      </w:r>
    </w:p>
    <w:p>
      <w:pPr>
        <w:spacing w:before="120"/>
        <w:ind w:firstLine="709"/>
        <w:jc w:val="both"/>
        <w:rPr>
          <w:rFonts w:ascii="Times New Roman" w:hAnsi="Times New Roman" w:cs="Times New Roman"/>
          <w:sz w:val="28"/>
          <w:szCs w:val="28"/>
        </w:rPr>
      </w:pPr>
      <w:r>
        <w:rPr>
          <w:rFonts w:ascii="Times New Roman" w:hAnsi="Times New Roman" w:cs="Times New Roman"/>
          <w:sz w:val="28"/>
          <w:szCs w:val="28"/>
        </w:rPr>
        <w:t>5. Thay thế cụm từ  “Sở Giao thông vận tải” thành “Sở Xây dựng” tại điểm đ Khoản 2 Điều 8; Phụ lục I, Phụ lục II quy định phân công, phân cấp thực hiện các nhiệm vụ quản lý nhà nước về giá, thẩm định giá thuộc phạm vi quản lý của tỉnh Thanh Hóa ban hành kèm theo Quyết định số 82/2024/QĐ-UBND ngày 9/12/2024 của UBNND tỉnh.</w:t>
      </w:r>
    </w:p>
    <w:p>
      <w:pPr>
        <w:pStyle w:val="NormalWeb"/>
        <w:shd w:val="clear" w:color="auto" w:fill="FFFFFF"/>
        <w:spacing w:before="120" w:beforeAutospacing="0" w:after="0" w:afterAutospacing="0"/>
        <w:ind w:firstLine="709"/>
        <w:jc w:val="both"/>
        <w:rPr>
          <w:rFonts w:ascii="Times New Roman" w:hAnsi="Times New Roman" w:cs="Times New Roman"/>
          <w:spacing w:val="2"/>
          <w:sz w:val="28"/>
          <w:szCs w:val="28"/>
          <w:lang w:val="nl-NL"/>
        </w:rPr>
      </w:pPr>
      <w:r>
        <w:rPr>
          <w:rFonts w:ascii="Times New Roman" w:hAnsi="Times New Roman" w:cs="Times New Roman"/>
          <w:b/>
          <w:spacing w:val="2"/>
          <w:sz w:val="28"/>
          <w:szCs w:val="28"/>
          <w:lang w:val="nl-NL"/>
        </w:rPr>
        <w:t>Điều 3.</w:t>
      </w:r>
      <w:r>
        <w:rPr>
          <w:rFonts w:ascii="Times New Roman" w:hAnsi="Times New Roman" w:cs="Times New Roman"/>
          <w:spacing w:val="2"/>
          <w:sz w:val="28"/>
          <w:szCs w:val="28"/>
          <w:lang w:val="nl-NL"/>
        </w:rPr>
        <w:t xml:space="preserve"> Hiệu lực thi hành</w:t>
      </w:r>
    </w:p>
    <w:p>
      <w:pPr>
        <w:pStyle w:val="NormalWeb"/>
        <w:shd w:val="clear" w:color="auto" w:fill="FFFFFF"/>
        <w:spacing w:before="120" w:beforeAutospacing="0" w:after="0" w:afterAutospacing="0"/>
        <w:ind w:firstLine="709"/>
        <w:jc w:val="both"/>
        <w:rPr>
          <w:rFonts w:ascii="Times New Roman" w:hAnsi="Times New Roman" w:cs="Times New Roman"/>
          <w:spacing w:val="2"/>
          <w:sz w:val="28"/>
          <w:szCs w:val="28"/>
          <w:lang w:val="nl-NL"/>
        </w:rPr>
      </w:pPr>
      <w:bookmarkStart w:id="3" w:name="dieu_2_name"/>
      <w:r>
        <w:rPr>
          <w:rFonts w:ascii="Times New Roman" w:hAnsi="Times New Roman" w:cs="Times New Roman"/>
          <w:spacing w:val="2"/>
          <w:sz w:val="28"/>
          <w:szCs w:val="28"/>
          <w:lang w:val="nl-NL"/>
        </w:rPr>
        <w:t xml:space="preserve">Quyết định này có hiệu lực thi hành </w:t>
      </w:r>
      <w:bookmarkEnd w:id="3"/>
      <w:r>
        <w:rPr>
          <w:rFonts w:ascii="Times New Roman" w:hAnsi="Times New Roman" w:cs="Times New Roman"/>
          <w:spacing w:val="2"/>
          <w:sz w:val="28"/>
          <w:szCs w:val="28"/>
          <w:lang w:val="nl-NL"/>
        </w:rPr>
        <w:t>kể từ ngày      tháng 7 năm 2025.</w:t>
      </w:r>
    </w:p>
    <w:p>
      <w:pPr>
        <w:pStyle w:val="NormalWeb"/>
        <w:shd w:val="clear" w:color="auto" w:fill="FFFFFF"/>
        <w:spacing w:before="120" w:beforeAutospacing="0" w:after="0" w:afterAutospacing="0"/>
        <w:ind w:firstLine="720"/>
        <w:jc w:val="both"/>
        <w:rPr>
          <w:sz w:val="28"/>
          <w:szCs w:val="28"/>
        </w:rPr>
      </w:pPr>
      <w:r>
        <w:rPr>
          <w:rFonts w:ascii="Times New Roman" w:hAnsi="Times New Roman" w:cs="Times New Roman"/>
          <w:b/>
          <w:spacing w:val="-6"/>
          <w:sz w:val="28"/>
          <w:szCs w:val="28"/>
        </w:rPr>
        <w:t xml:space="preserve">Điều 4. </w:t>
      </w:r>
      <w:r>
        <w:rPr>
          <w:rFonts w:ascii="Times New Roman" w:hAnsi="Times New Roman" w:cs="Times New Roman"/>
          <w:spacing w:val="2"/>
          <w:sz w:val="28"/>
          <w:szCs w:val="28"/>
          <w:lang w:val="nl-NL"/>
        </w:rPr>
        <w:t xml:space="preserve">Chánh Văn phòng Ủy ban nhân dân tỉnh; Giám đốc các sở, Trưởng các ban, ngành, đơn vị cấp tỉnh; Chủ tịch Ủy ban nhân dân các xã, phường, các tổ chức, đơn vị và cá nhân có liên quan chịu trách nhiệm thi hành Quyết định này./. </w:t>
      </w:r>
    </w:p>
    <w:p>
      <w:pPr>
        <w:tabs>
          <w:tab w:val="left" w:pos="600"/>
        </w:tabs>
        <w:spacing w:before="120"/>
        <w:jc w:val="both"/>
        <w:rPr>
          <w:rFonts w:ascii="Times New Roman" w:hAnsi="Times New Roman" w:cs="Times New Roman"/>
          <w:sz w:val="10"/>
          <w:szCs w:val="28"/>
        </w:rPr>
      </w:pPr>
    </w:p>
    <w:tbl>
      <w:tblPr>
        <w:tblW w:w="0" w:type="auto"/>
        <w:tblInd w:w="108" w:type="dxa"/>
        <w:tblCellMar>
          <w:left w:w="0" w:type="dxa"/>
          <w:right w:w="0" w:type="dxa"/>
        </w:tblCellMar>
        <w:tblLook w:val="0000" w:firstRow="0" w:lastRow="0" w:firstColumn="0" w:lastColumn="0" w:noHBand="0" w:noVBand="0"/>
      </w:tblPr>
      <w:tblGrid>
        <w:gridCol w:w="4820"/>
        <w:gridCol w:w="4300"/>
      </w:tblGrid>
      <w:tr>
        <w:tc>
          <w:tcPr>
            <w:tcW w:w="4820" w:type="dxa"/>
            <w:tcMar>
              <w:top w:w="0" w:type="dxa"/>
              <w:left w:w="108" w:type="dxa"/>
              <w:bottom w:w="0" w:type="dxa"/>
              <w:right w:w="108" w:type="dxa"/>
            </w:tcMar>
          </w:tcPr>
          <w:p>
            <w:pPr>
              <w:ind w:hanging="108"/>
              <w:rPr>
                <w:rFonts w:ascii="Times New Roman" w:hAnsi="Times New Roman" w:cs="Times New Roman"/>
                <w:b/>
                <w:bCs/>
                <w:i/>
                <w:iCs/>
                <w:spacing w:val="6"/>
                <w:sz w:val="28"/>
                <w:szCs w:val="28"/>
              </w:rPr>
            </w:pPr>
            <w:r>
              <w:rPr>
                <w:rFonts w:ascii="Times New Roman" w:hAnsi="Times New Roman" w:cs="Times New Roman"/>
                <w:b/>
                <w:bCs/>
                <w:i/>
                <w:iCs/>
                <w:spacing w:val="6"/>
                <w:szCs w:val="28"/>
                <w:lang w:val="vi-VN"/>
              </w:rPr>
              <w:t>Nơi nhận:</w:t>
            </w:r>
          </w:p>
          <w:p>
            <w:pPr>
              <w:ind w:hanging="108"/>
              <w:rPr>
                <w:rFonts w:ascii="Times New Roman" w:hAnsi="Times New Roman" w:cs="Times New Roman"/>
                <w:sz w:val="22"/>
                <w:szCs w:val="28"/>
              </w:rPr>
            </w:pPr>
            <w:r>
              <w:rPr>
                <w:rFonts w:ascii="Times New Roman" w:hAnsi="Times New Roman" w:cs="Times New Roman"/>
                <w:sz w:val="22"/>
                <w:szCs w:val="28"/>
                <w:lang w:val="vi-VN"/>
              </w:rPr>
              <w:t>- Như</w:t>
            </w:r>
            <w:r>
              <w:rPr>
                <w:rFonts w:ascii="Times New Roman" w:hAnsi="Times New Roman" w:cs="Times New Roman"/>
                <w:sz w:val="22"/>
                <w:szCs w:val="28"/>
              </w:rPr>
              <w:t xml:space="preserve"> </w:t>
            </w:r>
            <w:r>
              <w:rPr>
                <w:rFonts w:ascii="Times New Roman" w:hAnsi="Times New Roman" w:cs="Times New Roman"/>
                <w:sz w:val="22"/>
                <w:szCs w:val="28"/>
                <w:lang w:val="vi-VN"/>
              </w:rPr>
              <w:t>Điều 3</w:t>
            </w:r>
            <w:r>
              <w:rPr>
                <w:rFonts w:ascii="Times New Roman" w:hAnsi="Times New Roman" w:cs="Times New Roman"/>
                <w:sz w:val="22"/>
                <w:szCs w:val="28"/>
              </w:rPr>
              <w:t xml:space="preserve"> </w:t>
            </w:r>
            <w:r>
              <w:rPr>
                <w:rFonts w:ascii="Times New Roman" w:hAnsi="Times New Roman" w:cs="Times New Roman"/>
                <w:sz w:val="22"/>
                <w:szCs w:val="28"/>
                <w:lang w:val="vi-VN"/>
              </w:rPr>
              <w:t>Quyết định;</w:t>
            </w:r>
          </w:p>
          <w:p>
            <w:pPr>
              <w:ind w:hanging="108"/>
              <w:rPr>
                <w:rFonts w:ascii="Times New Roman" w:hAnsi="Times New Roman" w:cs="Times New Roman"/>
                <w:sz w:val="22"/>
                <w:szCs w:val="28"/>
              </w:rPr>
            </w:pPr>
            <w:r>
              <w:rPr>
                <w:rFonts w:ascii="Times New Roman" w:hAnsi="Times New Roman" w:cs="Times New Roman"/>
                <w:sz w:val="22"/>
                <w:szCs w:val="28"/>
              </w:rPr>
              <w:t>- Văn phòng Chính phủ (để b/c);</w:t>
            </w:r>
          </w:p>
          <w:p>
            <w:pPr>
              <w:ind w:hanging="108"/>
              <w:rPr>
                <w:rFonts w:ascii="Times New Roman" w:hAnsi="Times New Roman" w:cs="Times New Roman"/>
                <w:sz w:val="22"/>
                <w:szCs w:val="28"/>
              </w:rPr>
            </w:pPr>
            <w:r>
              <w:rPr>
                <w:rFonts w:ascii="Times New Roman" w:hAnsi="Times New Roman" w:cs="Times New Roman"/>
                <w:sz w:val="22"/>
                <w:szCs w:val="28"/>
              </w:rPr>
              <w:t xml:space="preserve">- Bộ Tài chính (để b/c); </w:t>
            </w:r>
          </w:p>
          <w:p>
            <w:pPr>
              <w:ind w:hanging="108"/>
              <w:rPr>
                <w:rFonts w:ascii="Times New Roman" w:hAnsi="Times New Roman" w:cs="Times New Roman"/>
                <w:sz w:val="22"/>
                <w:szCs w:val="28"/>
              </w:rPr>
            </w:pPr>
            <w:r>
              <w:rPr>
                <w:rFonts w:ascii="Times New Roman" w:hAnsi="Times New Roman" w:cs="Times New Roman"/>
                <w:sz w:val="22"/>
                <w:szCs w:val="28"/>
              </w:rPr>
              <w:t>- TTr Tỉnh ủy, TTr HĐND tỉnh (để b/c);</w:t>
            </w:r>
          </w:p>
          <w:p>
            <w:pPr>
              <w:ind w:hanging="108"/>
              <w:rPr>
                <w:rFonts w:ascii="Times New Roman" w:hAnsi="Times New Roman" w:cs="Times New Roman"/>
                <w:sz w:val="22"/>
                <w:szCs w:val="28"/>
              </w:rPr>
            </w:pPr>
            <w:r>
              <w:rPr>
                <w:rFonts w:ascii="Times New Roman" w:hAnsi="Times New Roman" w:cs="Times New Roman"/>
                <w:sz w:val="22"/>
                <w:szCs w:val="28"/>
              </w:rPr>
              <w:t>- Đoàn Đại biểu Quốc hội tỉnh (để b/c);</w:t>
            </w:r>
          </w:p>
          <w:p>
            <w:pPr>
              <w:ind w:hanging="108"/>
              <w:rPr>
                <w:rFonts w:ascii="Times New Roman" w:hAnsi="Times New Roman" w:cs="Times New Roman"/>
                <w:sz w:val="22"/>
                <w:szCs w:val="28"/>
              </w:rPr>
            </w:pPr>
            <w:r>
              <w:rPr>
                <w:rFonts w:ascii="Times New Roman" w:hAnsi="Times New Roman" w:cs="Times New Roman"/>
                <w:sz w:val="22"/>
                <w:szCs w:val="28"/>
              </w:rPr>
              <w:t>- Chủ tịch, các PCT UBND tỉnh;</w:t>
            </w:r>
          </w:p>
          <w:p>
            <w:pPr>
              <w:ind w:hanging="108"/>
              <w:rPr>
                <w:rFonts w:ascii="Times New Roman" w:hAnsi="Times New Roman" w:cs="Times New Roman"/>
                <w:sz w:val="22"/>
                <w:szCs w:val="28"/>
              </w:rPr>
            </w:pPr>
            <w:r>
              <w:rPr>
                <w:rFonts w:ascii="Times New Roman" w:hAnsi="Times New Roman" w:cs="Times New Roman"/>
                <w:sz w:val="22"/>
                <w:szCs w:val="28"/>
              </w:rPr>
              <w:t>- Cục kiểm tra văn bản QPPL - Bộ tư pháp;</w:t>
            </w:r>
          </w:p>
          <w:p>
            <w:pPr>
              <w:ind w:hanging="108"/>
              <w:rPr>
                <w:rFonts w:ascii="Times New Roman" w:hAnsi="Times New Roman" w:cs="Times New Roman"/>
                <w:sz w:val="22"/>
                <w:szCs w:val="28"/>
              </w:rPr>
            </w:pPr>
            <w:r>
              <w:rPr>
                <w:rFonts w:ascii="Times New Roman" w:hAnsi="Times New Roman" w:cs="Times New Roman"/>
                <w:sz w:val="22"/>
                <w:szCs w:val="28"/>
              </w:rPr>
              <w:t>- Các Ban của Tỉnh ủy, HĐND tỉnh;</w:t>
            </w:r>
          </w:p>
          <w:p>
            <w:pPr>
              <w:ind w:hanging="108"/>
              <w:rPr>
                <w:rFonts w:ascii="Times New Roman" w:hAnsi="Times New Roman" w:cs="Times New Roman"/>
                <w:sz w:val="22"/>
                <w:szCs w:val="28"/>
              </w:rPr>
            </w:pPr>
            <w:r>
              <w:rPr>
                <w:rFonts w:ascii="Times New Roman" w:hAnsi="Times New Roman" w:cs="Times New Roman"/>
                <w:sz w:val="22"/>
                <w:szCs w:val="28"/>
              </w:rPr>
              <w:t>- Lãnh đạo Văn phòng UBND tỉnh;</w:t>
            </w:r>
          </w:p>
          <w:p>
            <w:pPr>
              <w:ind w:hanging="108"/>
              <w:rPr>
                <w:rFonts w:ascii="Times New Roman" w:hAnsi="Times New Roman" w:cs="Times New Roman"/>
                <w:sz w:val="22"/>
                <w:szCs w:val="28"/>
              </w:rPr>
            </w:pPr>
            <w:r>
              <w:rPr>
                <w:rFonts w:ascii="Times New Roman" w:hAnsi="Times New Roman" w:cs="Times New Roman"/>
                <w:sz w:val="22"/>
                <w:szCs w:val="28"/>
              </w:rPr>
              <w:t>- Báo Thanh Hóa;</w:t>
            </w:r>
          </w:p>
          <w:p>
            <w:pPr>
              <w:ind w:hanging="108"/>
              <w:rPr>
                <w:rFonts w:ascii="Times New Roman" w:hAnsi="Times New Roman" w:cs="Times New Roman"/>
                <w:sz w:val="22"/>
                <w:szCs w:val="28"/>
              </w:rPr>
            </w:pPr>
            <w:r>
              <w:rPr>
                <w:rFonts w:ascii="Times New Roman" w:hAnsi="Times New Roman" w:cs="Times New Roman"/>
                <w:sz w:val="22"/>
                <w:szCs w:val="28"/>
              </w:rPr>
              <w:t>- Đài Phát thanh và Truyền hình tỉnh;</w:t>
            </w:r>
          </w:p>
          <w:p>
            <w:pPr>
              <w:ind w:hanging="108"/>
              <w:rPr>
                <w:rFonts w:ascii="Times New Roman" w:hAnsi="Times New Roman" w:cs="Times New Roman"/>
                <w:sz w:val="22"/>
                <w:szCs w:val="28"/>
              </w:rPr>
            </w:pPr>
            <w:r>
              <w:rPr>
                <w:rFonts w:ascii="Times New Roman" w:hAnsi="Times New Roman" w:cs="Times New Roman"/>
                <w:sz w:val="22"/>
                <w:szCs w:val="28"/>
              </w:rPr>
              <w:lastRenderedPageBreak/>
              <w:t>- Công báo tỉnh;</w:t>
            </w:r>
          </w:p>
          <w:p>
            <w:pPr>
              <w:ind w:hanging="108"/>
              <w:rPr>
                <w:rFonts w:ascii="Times New Roman" w:hAnsi="Times New Roman" w:cs="Times New Roman"/>
                <w:sz w:val="22"/>
                <w:szCs w:val="28"/>
              </w:rPr>
            </w:pPr>
            <w:r>
              <w:rPr>
                <w:rFonts w:ascii="Times New Roman" w:hAnsi="Times New Roman" w:cs="Times New Roman"/>
                <w:sz w:val="22"/>
                <w:szCs w:val="28"/>
                <w:lang w:val="vi-VN"/>
              </w:rPr>
              <w:t xml:space="preserve">- Cổng </w:t>
            </w:r>
            <w:r>
              <w:rPr>
                <w:rFonts w:ascii="Times New Roman" w:hAnsi="Times New Roman" w:cs="Times New Roman"/>
                <w:sz w:val="22"/>
                <w:szCs w:val="28"/>
              </w:rPr>
              <w:t>T</w:t>
            </w:r>
            <w:r>
              <w:rPr>
                <w:rFonts w:ascii="Times New Roman" w:hAnsi="Times New Roman" w:cs="Times New Roman"/>
                <w:sz w:val="22"/>
                <w:szCs w:val="28"/>
                <w:lang w:val="vi-VN"/>
              </w:rPr>
              <w:t>hông tin điện tử tỉnh;</w:t>
            </w:r>
          </w:p>
          <w:p>
            <w:pPr>
              <w:ind w:hanging="108"/>
              <w:rPr>
                <w:rFonts w:ascii="Times New Roman" w:hAnsi="Times New Roman" w:cs="Times New Roman"/>
                <w:spacing w:val="6"/>
                <w:sz w:val="18"/>
                <w:szCs w:val="18"/>
                <w:lang w:val="fr-FR"/>
              </w:rPr>
            </w:pPr>
            <w:r>
              <w:rPr>
                <w:rFonts w:ascii="Times New Roman" w:hAnsi="Times New Roman" w:cs="Times New Roman"/>
                <w:sz w:val="22"/>
                <w:szCs w:val="28"/>
                <w:lang w:val="vi-VN"/>
              </w:rPr>
              <w:t>- Lưu:</w:t>
            </w:r>
            <w:r>
              <w:rPr>
                <w:rFonts w:ascii="Times New Roman" w:hAnsi="Times New Roman" w:cs="Times New Roman"/>
                <w:sz w:val="22"/>
                <w:szCs w:val="28"/>
              </w:rPr>
              <w:t xml:space="preserve"> </w:t>
            </w:r>
            <w:r>
              <w:rPr>
                <w:rFonts w:ascii="Times New Roman" w:hAnsi="Times New Roman" w:cs="Times New Roman"/>
                <w:sz w:val="22"/>
                <w:szCs w:val="28"/>
                <w:lang w:val="vi-VN"/>
              </w:rPr>
              <w:t>VT, KTTC.</w:t>
            </w:r>
          </w:p>
        </w:tc>
        <w:tc>
          <w:tcPr>
            <w:tcW w:w="4300" w:type="dxa"/>
            <w:tcMar>
              <w:top w:w="0" w:type="dxa"/>
              <w:left w:w="108" w:type="dxa"/>
              <w:bottom w:w="0" w:type="dxa"/>
              <w:right w:w="108" w:type="dxa"/>
            </w:tcMar>
          </w:tcPr>
          <w:p>
            <w:pPr>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lastRenderedPageBreak/>
              <w:t>TM. UỶ BAN NHÂN DÂN</w:t>
            </w:r>
          </w:p>
          <w:p>
            <w:pPr>
              <w:jc w:val="center"/>
              <w:rPr>
                <w:rFonts w:ascii="Times New Roman" w:hAnsi="Times New Roman" w:cs="Times New Roman"/>
                <w:b/>
                <w:bCs/>
                <w:sz w:val="27"/>
                <w:szCs w:val="27"/>
                <w:lang w:val="fr-FR"/>
              </w:rPr>
            </w:pPr>
            <w:r>
              <w:rPr>
                <w:rFonts w:ascii="Times New Roman" w:hAnsi="Times New Roman" w:cs="Times New Roman"/>
                <w:b/>
                <w:bCs/>
                <w:sz w:val="26"/>
                <w:szCs w:val="26"/>
                <w:lang w:val="fr-FR"/>
              </w:rPr>
              <w:t>CHỦ TỊCH</w:t>
            </w:r>
          </w:p>
          <w:p>
            <w:pPr>
              <w:jc w:val="center"/>
              <w:rPr>
                <w:rFonts w:ascii="Times New Roman" w:hAnsi="Times New Roman" w:cs="Times New Roman"/>
                <w:b/>
                <w:bCs/>
                <w:sz w:val="26"/>
                <w:szCs w:val="28"/>
                <w:lang w:val="fr-FR"/>
              </w:rPr>
            </w:pPr>
          </w:p>
          <w:p>
            <w:pPr>
              <w:rPr>
                <w:rFonts w:ascii="Times New Roman" w:hAnsi="Times New Roman" w:cs="Times New Roman"/>
                <w:b/>
                <w:bCs/>
                <w:sz w:val="28"/>
                <w:szCs w:val="28"/>
                <w:lang w:val="fr-FR"/>
              </w:rPr>
            </w:pPr>
          </w:p>
          <w:p>
            <w:pPr>
              <w:rPr>
                <w:rFonts w:ascii="Times New Roman" w:hAnsi="Times New Roman" w:cs="Times New Roman"/>
                <w:b/>
                <w:bCs/>
                <w:sz w:val="28"/>
                <w:szCs w:val="28"/>
                <w:lang w:val="fr-FR"/>
              </w:rPr>
            </w:pPr>
          </w:p>
          <w:p>
            <w:pPr>
              <w:rPr>
                <w:rFonts w:ascii="Times New Roman" w:hAnsi="Times New Roman" w:cs="Times New Roman"/>
                <w:b/>
                <w:bCs/>
                <w:sz w:val="28"/>
                <w:szCs w:val="28"/>
                <w:lang w:val="fr-FR"/>
              </w:rPr>
            </w:pPr>
          </w:p>
          <w:p>
            <w:pPr>
              <w:rPr>
                <w:rFonts w:ascii="Times New Roman" w:hAnsi="Times New Roman" w:cs="Times New Roman"/>
                <w:b/>
                <w:bCs/>
                <w:sz w:val="32"/>
                <w:szCs w:val="28"/>
                <w:lang w:val="fr-FR"/>
              </w:rPr>
            </w:pPr>
          </w:p>
          <w:p>
            <w:pPr>
              <w:rPr>
                <w:rFonts w:ascii="Times New Roman" w:hAnsi="Times New Roman" w:cs="Times New Roman"/>
                <w:b/>
                <w:bCs/>
                <w:sz w:val="22"/>
                <w:szCs w:val="28"/>
                <w:lang w:val="fr-FR"/>
              </w:rPr>
            </w:pPr>
          </w:p>
          <w:p>
            <w:pPr>
              <w:rPr>
                <w:rFonts w:ascii="Times New Roman" w:hAnsi="Times New Roman" w:cs="Times New Roman"/>
                <w:b/>
                <w:bCs/>
                <w:sz w:val="14"/>
                <w:szCs w:val="28"/>
                <w:lang w:val="fr-FR"/>
              </w:rPr>
            </w:pPr>
          </w:p>
          <w:p>
            <w:pPr>
              <w:rPr>
                <w:rFonts w:ascii="Times New Roman" w:hAnsi="Times New Roman" w:cs="Times New Roman"/>
                <w:b/>
                <w:bCs/>
                <w:sz w:val="44"/>
                <w:szCs w:val="28"/>
                <w:lang w:val="fr-FR"/>
              </w:rPr>
            </w:pPr>
          </w:p>
          <w:p>
            <w:pPr>
              <w:spacing w:before="80"/>
              <w:jc w:val="center"/>
              <w:rPr>
                <w:rFonts w:ascii="Times New Roman" w:hAnsi="Times New Roman" w:cs="Times New Roman"/>
                <w:b/>
                <w:sz w:val="28"/>
                <w:szCs w:val="28"/>
                <w:lang w:val="fr-FR"/>
              </w:rPr>
            </w:pPr>
            <w:r>
              <w:rPr>
                <w:rFonts w:ascii="Times New Roman" w:hAnsi="Times New Roman" w:cs="Times New Roman"/>
                <w:b/>
                <w:bCs/>
                <w:sz w:val="28"/>
                <w:szCs w:val="28"/>
                <w:lang w:val="fr-FR"/>
              </w:rPr>
              <w:lastRenderedPageBreak/>
              <w:t>Đỗ Minh Tuấn</w:t>
            </w:r>
          </w:p>
        </w:tc>
      </w:tr>
    </w:tbl>
    <w:p>
      <w:pPr>
        <w:autoSpaceDE w:val="0"/>
        <w:autoSpaceDN w:val="0"/>
        <w:adjustRightInd w:val="0"/>
        <w:spacing w:before="120" w:line="276" w:lineRule="auto"/>
        <w:ind w:firstLine="720"/>
        <w:jc w:val="both"/>
        <w:rPr>
          <w:rFonts w:ascii="Times New Roman" w:hAnsi="Times New Roman" w:cs="Times New Roman"/>
          <w:i/>
          <w:strike/>
          <w:sz w:val="28"/>
          <w:szCs w:val="28"/>
        </w:rPr>
      </w:pPr>
      <w:r>
        <w:rPr>
          <w:rFonts w:ascii="Times New Roman" w:hAnsi="Times New Roman" w:cs="Times New Roman"/>
          <w:i/>
          <w:strike/>
          <w:sz w:val="28"/>
          <w:szCs w:val="28"/>
        </w:rPr>
        <w:lastRenderedPageBreak/>
        <w:t xml:space="preserve"> </w:t>
      </w:r>
    </w:p>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Arial"/>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pPr>
      <w:spacing w:before="100" w:beforeAutospacing="1" w:after="100" w:afterAutospacing="1"/>
    </w:p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Pr>
      <w:rFonts w:ascii="Arial" w:eastAsia="Times New Roman" w:hAnsi="Arial" w:cs="Arial"/>
      <w:noProof/>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Arial"/>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pPr>
      <w:spacing w:before="100" w:beforeAutospacing="1" w:after="100" w:afterAutospacing="1"/>
    </w:p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Pr>
      <w:rFonts w:ascii="Arial" w:eastAsia="Times New Roman" w:hAnsi="Arial" w:cs="Arial"/>
      <w:noProo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B06D063-E649-41B5-B339-48CCFF594E42}"/>
</file>

<file path=customXml/itemProps2.xml><?xml version="1.0" encoding="utf-8"?>
<ds:datastoreItem xmlns:ds="http://schemas.openxmlformats.org/officeDocument/2006/customXml" ds:itemID="{361BA412-9C69-44C7-97E3-E0CDEF6E984D}"/>
</file>

<file path=customXml/itemProps3.xml><?xml version="1.0" encoding="utf-8"?>
<ds:datastoreItem xmlns:ds="http://schemas.openxmlformats.org/officeDocument/2006/customXml" ds:itemID="{2C6A949E-A69C-456F-A14E-ABFC9016308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2025-07-01T00:32:00Z</dcterms:created>
  <dcterms:modified xsi:type="dcterms:W3CDTF">2025-07-01T00:32:00Z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